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b/>
        </w:rPr>
        <w:t xml:space="preserve">Wymagania techniczne dla instalacji łączności radiowej </w:t>
      </w:r>
    </w:p>
    <w:p>
      <w:pPr>
        <w:pStyle w:val="Normal"/>
        <w:spacing w:lineRule="auto" w:line="240" w:before="0" w:after="0"/>
        <w:jc w:val="both"/>
        <w:rPr>
          <w:rFonts w:ascii="Arial" w:hAnsi="Arial" w:cs="Arial"/>
        </w:rPr>
      </w:pPr>
      <w:r>
        <w:rPr>
          <w:rFonts w:cs="Arial" w:ascii="Arial" w:hAnsi="Arial"/>
          <w:b/>
        </w:rPr>
        <w:t xml:space="preserve"> </w:t>
      </w:r>
    </w:p>
    <w:p>
      <w:pPr>
        <w:pStyle w:val="ListParagraph"/>
        <w:numPr>
          <w:ilvl w:val="0"/>
          <w:numId w:val="13"/>
        </w:numPr>
        <w:spacing w:lineRule="auto" w:line="240" w:before="0" w:after="0"/>
        <w:contextualSpacing/>
        <w:jc w:val="both"/>
        <w:rPr>
          <w:rFonts w:ascii="Arial" w:hAnsi="Arial" w:cs="Arial"/>
        </w:rPr>
      </w:pPr>
      <w:r>
        <w:rPr>
          <w:rFonts w:cs="Arial" w:ascii="Arial" w:hAnsi="Arial"/>
        </w:rPr>
        <w:t xml:space="preserve">Pojazd musi być przystosowany w instalację umożliwiającą wyposażenie w radiotelefon przewoźny na pasmo VHF (164÷174 MHz, 380-430 MHz) o przybliżonych wymiarach: szerokość 215 mm, wysokość 60 mm, głębokość 195 mm, masa ok. 1,8 kg. </w:t>
      </w:r>
    </w:p>
    <w:p>
      <w:pPr>
        <w:pStyle w:val="ListParagraph"/>
        <w:numPr>
          <w:ilvl w:val="0"/>
          <w:numId w:val="13"/>
        </w:numPr>
        <w:spacing w:lineRule="auto" w:line="240" w:before="0" w:after="0"/>
        <w:contextualSpacing/>
        <w:jc w:val="both"/>
        <w:rPr>
          <w:rFonts w:ascii="Arial" w:hAnsi="Arial" w:cs="Arial"/>
          <w:b/>
        </w:rPr>
      </w:pPr>
      <w:r>
        <w:rPr>
          <w:rFonts w:cs="Arial" w:ascii="Arial" w:hAnsi="Arial"/>
        </w:rPr>
        <w:t xml:space="preserve">Miejsca instalacji mają umożliwiać szybki montaż i demontaż urządzeń z osprzętem (głośnik, mikrofon). </w:t>
      </w:r>
    </w:p>
    <w:p>
      <w:pPr>
        <w:pStyle w:val="ListParagraph"/>
        <w:numPr>
          <w:ilvl w:val="0"/>
          <w:numId w:val="13"/>
        </w:numPr>
        <w:spacing w:lineRule="auto" w:line="240" w:before="0" w:after="0"/>
        <w:contextualSpacing/>
        <w:jc w:val="both"/>
        <w:rPr>
          <w:rFonts w:ascii="Arial" w:hAnsi="Arial" w:cs="Arial"/>
        </w:rPr>
      </w:pPr>
      <w:r>
        <w:rPr>
          <w:rFonts w:cs="Arial" w:ascii="Arial" w:hAnsi="Arial"/>
        </w:rPr>
        <w:t xml:space="preserve">Wykonawca musi wykonać oddzielne przyłącze elektryczne do przewidywanego miejsca instalacji radiotelefonu. Przyłącze wykonać przewodem elektrycznym od akumulatora do przewidywanego miejsca instalacji radiotelefonu (minus czarny, plus czerwony) z 20A zabezpieczeniem na plusie umieszczonym jak najbliżej źródła zasilania (do 40 cm od akumulatora). Wykonana instalacja musi być zakończona złączem elektrycznym, a długość przewodu musi posiadać zapas długości min. 0.5m. Bezpiecznik zabezpieczający instalację elektryczną musi być oznaczony w sposób i umieszczony w miejscu łatwo dostępnym. Oznaczenie bezpiecznika musi umożliwiać identyfikację obwodu elektrycznego. (np. oznaczenie: „zasilanie radiotelefon VHF”) </w:t>
      </w:r>
    </w:p>
    <w:p>
      <w:pPr>
        <w:pStyle w:val="ListParagraph"/>
        <w:numPr>
          <w:ilvl w:val="0"/>
          <w:numId w:val="13"/>
        </w:numPr>
        <w:spacing w:lineRule="auto" w:line="240" w:before="0" w:after="0"/>
        <w:contextualSpacing/>
        <w:jc w:val="both"/>
        <w:rPr>
          <w:rFonts w:ascii="Arial" w:hAnsi="Arial" w:cs="Arial"/>
        </w:rPr>
      </w:pPr>
      <w:r>
        <w:rPr>
          <w:rFonts w:cs="Arial" w:ascii="Arial" w:hAnsi="Arial"/>
        </w:rPr>
        <w:t>Zamawiający wymaga od Wykonawcy zapewnienia minimum 100 W mocy do w/w urządzeń łączności radiowej.</w:t>
      </w:r>
    </w:p>
    <w:p>
      <w:pPr>
        <w:pStyle w:val="ListParagraph"/>
        <w:numPr>
          <w:ilvl w:val="0"/>
          <w:numId w:val="13"/>
        </w:numPr>
        <w:spacing w:lineRule="auto" w:line="240" w:before="0" w:after="0"/>
        <w:contextualSpacing/>
        <w:jc w:val="both"/>
        <w:rPr>
          <w:rFonts w:ascii="Arial" w:hAnsi="Arial" w:cs="Arial"/>
        </w:rPr>
      </w:pPr>
      <w:r>
        <w:rPr>
          <w:rFonts w:cs="Arial" w:ascii="Arial" w:hAnsi="Arial"/>
        </w:rPr>
        <w:t xml:space="preserve">Wykonawca musi zamontować na szybie pojazdu anteny: </w:t>
      </w:r>
    </w:p>
    <w:p>
      <w:pPr>
        <w:pStyle w:val="Normal"/>
        <w:numPr>
          <w:ilvl w:val="4"/>
          <w:numId w:val="13"/>
        </w:numPr>
        <w:spacing w:lineRule="auto" w:line="240" w:before="0" w:after="0"/>
        <w:ind w:hanging="360" w:start="851"/>
        <w:jc w:val="both"/>
        <w:rPr>
          <w:rFonts w:ascii="Arial" w:hAnsi="Arial" w:cs="Arial"/>
        </w:rPr>
      </w:pPr>
      <w:r>
        <w:rPr>
          <w:rFonts w:cs="Arial" w:ascii="Arial" w:hAnsi="Arial"/>
        </w:rPr>
        <w:t>na pasmo częstotliwości pracy 164-174 MHz, która musi spełnić warunek dopasowania do ww. częstotliwości pasma pracy zachowując, ich parametry pracy tj. szerokość pasma pracy, zysk i moc. Zastosowana antena musi posiadać zintegrowany odbiornik GPS (parametr WFS wynosi ≤ 1,5 w całym paśmie częstotliwości pracy radiotelefonu, mierzony dla całego toru antenowego danego radiotelefonu VHF). Długość elektryczna anteny – 1/4λ Przewód antenowy (typu linka, przewód RG-58) doprowadzony do przewidywanego miejsca montażu zakończony wtykiem BNC (oznaczony np. radio VHF). Długość przewodu musi posiadać zapas długości min. 0.5m.</w:t>
      </w:r>
    </w:p>
    <w:p>
      <w:pPr>
        <w:pStyle w:val="Normal"/>
        <w:numPr>
          <w:ilvl w:val="4"/>
          <w:numId w:val="13"/>
        </w:numPr>
        <w:spacing w:lineRule="auto" w:line="240" w:before="0" w:after="0"/>
        <w:ind w:hanging="360" w:start="851"/>
        <w:jc w:val="both"/>
        <w:rPr>
          <w:rFonts w:ascii="Arial" w:hAnsi="Arial" w:cs="Arial"/>
        </w:rPr>
      </w:pPr>
      <w:r>
        <w:rPr>
          <w:rFonts w:cs="Arial" w:ascii="Arial" w:hAnsi="Arial"/>
        </w:rPr>
        <w:t>Dopuszcza się instalację osobnej anteny GPS. Za zgodą zamawiającego dopuszcza się instalację anteny GPS w wersji naklejanej na szybę.</w:t>
      </w:r>
    </w:p>
    <w:p>
      <w:pPr>
        <w:pStyle w:val="ListParagraph"/>
        <w:numPr>
          <w:ilvl w:val="0"/>
          <w:numId w:val="13"/>
        </w:numPr>
        <w:spacing w:lineRule="auto" w:line="240" w:before="0" w:after="0"/>
        <w:contextualSpacing/>
        <w:jc w:val="both"/>
        <w:rPr>
          <w:rFonts w:ascii="Arial" w:hAnsi="Arial" w:cs="Arial"/>
        </w:rPr>
      </w:pPr>
      <w:r>
        <w:rPr>
          <w:rFonts w:cs="Arial" w:ascii="Arial" w:hAnsi="Arial"/>
        </w:rPr>
        <w:t xml:space="preserve">Impedancja anten musi wynosić 50 Ω, zakres temperatury pracy -30ºC +60ºC. </w:t>
      </w:r>
    </w:p>
    <w:p>
      <w:pPr>
        <w:pStyle w:val="ListParagraph"/>
        <w:numPr>
          <w:ilvl w:val="0"/>
          <w:numId w:val="13"/>
        </w:numPr>
        <w:spacing w:lineRule="auto" w:line="240" w:before="0" w:after="0"/>
        <w:contextualSpacing/>
        <w:jc w:val="both"/>
        <w:rPr>
          <w:rFonts w:ascii="Arial" w:hAnsi="Arial" w:cs="Arial"/>
        </w:rPr>
      </w:pPr>
      <w:r>
        <w:rPr>
          <w:rFonts w:cs="Arial" w:ascii="Arial" w:hAnsi="Arial"/>
        </w:rPr>
        <w:t>Konstrukcja zastosowanych anten ma umożliwiać mycie pojazdu w automatycznej myjni - zgodnie z ich wymogami (np. poprzez odkręcenie promienników).</w:t>
      </w:r>
    </w:p>
    <w:p>
      <w:pPr>
        <w:pStyle w:val="ListParagraph"/>
        <w:numPr>
          <w:ilvl w:val="0"/>
          <w:numId w:val="13"/>
        </w:numPr>
        <w:spacing w:lineRule="auto" w:line="240" w:before="0" w:after="0"/>
        <w:contextualSpacing/>
        <w:jc w:val="both"/>
        <w:rPr>
          <w:rFonts w:ascii="Arial" w:hAnsi="Arial" w:cs="Arial"/>
        </w:rPr>
      </w:pPr>
      <w:r>
        <w:rPr>
          <w:rFonts w:cs="Arial" w:ascii="Arial" w:hAnsi="Arial"/>
        </w:rPr>
        <w:t>Wykonawca musi zapewnić dla instalacji antenowej radiotelefonu parametr WFS wynosił ≤ 1,5 w całym paśmie częstotliwości pracy.</w:t>
      </w:r>
    </w:p>
    <w:p>
      <w:pPr>
        <w:pStyle w:val="ListParagraph"/>
        <w:numPr>
          <w:ilvl w:val="0"/>
          <w:numId w:val="13"/>
        </w:numPr>
        <w:spacing w:lineRule="auto" w:line="240" w:before="0" w:after="0"/>
        <w:contextualSpacing/>
        <w:jc w:val="both"/>
        <w:rPr>
          <w:rFonts w:ascii="Arial" w:hAnsi="Arial" w:cs="Arial"/>
        </w:rPr>
      </w:pPr>
      <w:r>
        <w:rPr>
          <w:rFonts w:cs="Arial" w:ascii="Arial" w:hAnsi="Arial"/>
        </w:rPr>
        <w:t>Antena musi być zainstalowana na dachu, w podłużnej osi symetrii pojazdu lub (po uzgodnieniu z Zamawiającym) symetrycznie do niej.</w:t>
      </w:r>
    </w:p>
    <w:p>
      <w:pPr>
        <w:pStyle w:val="ListParagraph"/>
        <w:numPr>
          <w:ilvl w:val="0"/>
          <w:numId w:val="13"/>
        </w:numPr>
        <w:spacing w:lineRule="auto" w:line="240" w:before="0" w:after="0"/>
        <w:contextualSpacing/>
        <w:jc w:val="both"/>
        <w:rPr>
          <w:rFonts w:ascii="Arial" w:hAnsi="Arial" w:cs="Arial"/>
        </w:rPr>
      </w:pPr>
      <w:r>
        <w:rPr>
          <w:rFonts w:cs="Arial" w:ascii="Arial" w:hAnsi="Arial"/>
        </w:rPr>
        <w:t>Przewody antenowe muszą być o impedancji 50 Ω i zakresie temperatury pracy - 35º C ÷ + 80º C.</w:t>
      </w:r>
    </w:p>
    <w:p>
      <w:pPr>
        <w:pStyle w:val="ListParagraph"/>
        <w:numPr>
          <w:ilvl w:val="0"/>
          <w:numId w:val="13"/>
        </w:numPr>
        <w:spacing w:lineRule="auto" w:line="240" w:before="0" w:after="0"/>
        <w:contextualSpacing/>
        <w:jc w:val="both"/>
        <w:rPr>
          <w:rFonts w:ascii="Arial" w:hAnsi="Arial" w:cs="Arial"/>
        </w:rPr>
      </w:pPr>
      <w:r>
        <w:rPr>
          <w:rFonts w:cs="Arial" w:ascii="Arial" w:hAnsi="Arial"/>
        </w:rPr>
        <w:t>Wszystkie punkty przewidziane do instalacji anten muszą zapewniać im właściwą przeciwwagę elektromagnetyczną oraz gwarantować dookólną charakterystykę promieniowania anten. Lokalizacja punktów ich instalacji musi gwarantować właściwą separację od zakłóceń elektromagnetycznych generowanych przez pokładowe urządzenia elektryczne i elektroniczne pojazdu – zwłaszcza w pasmach pracy 148÷174 MHz, 380÷430 MHz, i GPS.</w:t>
      </w:r>
    </w:p>
    <w:p>
      <w:pPr>
        <w:pStyle w:val="ListParagraph"/>
        <w:numPr>
          <w:ilvl w:val="0"/>
          <w:numId w:val="13"/>
        </w:numPr>
        <w:spacing w:lineRule="auto" w:line="240" w:before="0" w:after="0"/>
        <w:contextualSpacing/>
        <w:jc w:val="both"/>
        <w:rPr>
          <w:rFonts w:ascii="Arial" w:hAnsi="Arial" w:cs="Arial"/>
        </w:rPr>
      </w:pPr>
      <w:r>
        <w:rPr>
          <w:rFonts w:cs="Arial" w:ascii="Arial" w:hAnsi="Arial"/>
        </w:rPr>
        <w:t xml:space="preserve">Instalacja elektryczna pojazdu musi być przystosowana do zasilania urządzeń łączności radiowej, a poziom przewodowych zaburzeń elektrycznych </w:t>
        <w:br/>
        <w:t>i elektromagnetycznych w instalacji nie może powodować zakłóceń w pracy radiotelefonów z przyłączonymi do nich zestawami kamuflowanymi, przewodowymi i bezprzewodowymi.</w:t>
      </w:r>
    </w:p>
    <w:p>
      <w:pPr>
        <w:pStyle w:val="ListParagraph"/>
        <w:numPr>
          <w:ilvl w:val="0"/>
          <w:numId w:val="13"/>
        </w:numPr>
        <w:spacing w:lineRule="auto" w:line="240" w:before="0" w:after="0"/>
        <w:contextualSpacing/>
        <w:jc w:val="both"/>
        <w:rPr>
          <w:rFonts w:ascii="Arial" w:hAnsi="Arial" w:cs="Arial"/>
        </w:rPr>
      </w:pPr>
      <w:r>
        <w:rPr>
          <w:rFonts w:cs="Arial" w:ascii="Arial" w:hAnsi="Arial"/>
        </w:rPr>
        <w:t>Fabryczne wyposażenie pojazdu oraz urządzenia wyposażenia sygnalizacyjnego w szczególności urządzenia uprzywilejowania w ruchu drogowym, nie mogą powodować zakłóceń łączności radiowej, o której mowa powyżej.</w:t>
      </w:r>
    </w:p>
    <w:p>
      <w:pPr>
        <w:pStyle w:val="ListParagraph"/>
        <w:numPr>
          <w:ilvl w:val="0"/>
          <w:numId w:val="13"/>
        </w:numPr>
        <w:spacing w:lineRule="auto" w:line="240" w:before="0" w:after="0"/>
        <w:contextualSpacing/>
        <w:jc w:val="both"/>
        <w:rPr>
          <w:rFonts w:ascii="Arial" w:hAnsi="Arial" w:cs="Arial"/>
        </w:rPr>
      </w:pPr>
      <w:r>
        <w:rPr>
          <w:rFonts w:cs="Arial" w:ascii="Arial" w:hAnsi="Arial"/>
        </w:rPr>
        <w:t>Miejsca prowadzenia instalacji dla łączności radiowej muszą być łatwo dostępne, bez konieczności demontażu wyposażenia pojazdu, np. może to być listwa do poprowadzenia lub wymiany instalacji przewodów sygnałowych i sterujących.</w:t>
      </w:r>
    </w:p>
    <w:p>
      <w:pPr>
        <w:pStyle w:val="ListParagraph"/>
        <w:numPr>
          <w:ilvl w:val="0"/>
          <w:numId w:val="13"/>
        </w:numPr>
        <w:spacing w:lineRule="auto" w:line="240" w:before="0" w:after="0"/>
        <w:contextualSpacing/>
        <w:jc w:val="both"/>
        <w:rPr>
          <w:rFonts w:ascii="Arial" w:hAnsi="Arial" w:cs="Arial"/>
        </w:rPr>
      </w:pPr>
      <w:r>
        <w:rPr>
          <w:rFonts w:cs="Arial" w:ascii="Arial" w:hAnsi="Arial"/>
        </w:rPr>
        <w:t xml:space="preserve">Wykonawca dostarczy dokumentację dotyczącą parametrów zastosowanych w pojeździe materiałów użytych dla instalacji łączności radiowej. Ponadto instrukcję instalacji zgodną z ww. wymaganiami. Instrukcja musi zawierać (w postaci nośnika CD oraz wydrukowanych opisów, schematów i zdjęć) zagadnienia związane z miejscami instalacji ww. urządzeń łączności, strojenia anten, z trasami </w:t>
        <w:br/>
        <w:t xml:space="preserve">i sposobem prowadzenia przewodów antenowych, zasilających, sygnałowych </w:t>
        <w:br/>
        <w:t xml:space="preserve">i sterujących, a także miejscem i sposobem podłączenia zasilania. Dokumentacja </w:t>
        <w:br/>
        <w:t xml:space="preserve">i instrukcja instalacji ma być wykonana w języku polskim. </w:t>
      </w:r>
    </w:p>
    <w:p>
      <w:pPr>
        <w:pStyle w:val="ListParagraph"/>
        <w:numPr>
          <w:ilvl w:val="0"/>
          <w:numId w:val="13"/>
        </w:numPr>
        <w:spacing w:lineRule="auto" w:line="240" w:before="0" w:after="0"/>
        <w:contextualSpacing/>
        <w:jc w:val="both"/>
        <w:rPr>
          <w:rFonts w:ascii="Arial" w:hAnsi="Arial" w:cs="Arial"/>
        </w:rPr>
      </w:pPr>
      <w:r>
        <w:rPr>
          <w:rFonts w:cs="Arial" w:ascii="Arial" w:hAnsi="Arial"/>
        </w:rPr>
        <w:t xml:space="preserve">Zamawiający wymaga przedstawienia kart katalogowych producenta zastosowanych urządzeń radiowych. (Dołączone muszą być przynajmniej karty katalogowe następujących urządzeń: radiotelefon VHF, antena VHF, duplikser – jeżeli zastosowano w instalacji antenowej) </w:t>
      </w:r>
    </w:p>
    <w:p>
      <w:pPr>
        <w:pStyle w:val="Normal"/>
        <w:spacing w:lineRule="auto" w:line="240" w:before="0" w:after="0"/>
        <w:jc w:val="both"/>
        <w:rPr>
          <w:rFonts w:ascii="Arial" w:hAnsi="Arial" w:cs="Arial"/>
        </w:rPr>
      </w:pPr>
      <w:r>
        <w:rPr>
          <w:rFonts w:cs="Arial" w:ascii="Arial" w:hAnsi="Arial"/>
          <w:b/>
        </w:rPr>
        <w:t xml:space="preserve">Spełnienie wymagań o ile nie zostały szczegółowo opisane w poszczególnych punktach, musi być potwierdzone oświadczeniem Wykonawcy oraz pozytywnym wynikiem oględzin dokonanych przez przedstawicieli Zamawiającego w fazie oceny projektu modyfikacji pojazdu. </w:t>
      </w:r>
    </w:p>
    <w:p>
      <w:pPr>
        <w:pStyle w:val="Normal"/>
        <w:spacing w:lineRule="auto" w:line="240" w:before="0" w:after="0"/>
        <w:jc w:val="both"/>
        <w:rPr>
          <w:rFonts w:ascii="Arial" w:hAnsi="Arial" w:cs="Arial"/>
        </w:rPr>
      </w:pPr>
      <w:r>
        <w:rPr>
          <w:rFonts w:cs="Arial" w:ascii="Arial" w:hAnsi="Arial"/>
        </w:rPr>
        <w:t xml:space="preserve">  </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center"/>
        <w:rPr>
          <w:rFonts w:ascii="Arial" w:hAnsi="Arial" w:cs="Arial"/>
          <w:b/>
        </w:rPr>
      </w:pPr>
      <w:r>
        <w:rPr>
          <w:rFonts w:cs="Arial" w:ascii="Arial" w:hAnsi="Arial"/>
          <w:b/>
        </w:rPr>
        <w:t>Wymagania techniczne dla uprzywilejowania w ruchu</w:t>
      </w:r>
    </w:p>
    <w:p>
      <w:pPr>
        <w:pStyle w:val="Normal"/>
        <w:spacing w:lineRule="auto" w:line="240" w:before="0" w:after="0"/>
        <w:jc w:val="center"/>
        <w:rPr>
          <w:rFonts w:ascii="Arial" w:hAnsi="Arial" w:cs="Arial"/>
        </w:rPr>
      </w:pPr>
      <w:r>
        <w:rPr>
          <w:rFonts w:cs="Arial" w:ascii="Arial" w:hAnsi="Arial"/>
        </w:rPr>
      </w:r>
    </w:p>
    <w:p>
      <w:pPr>
        <w:pStyle w:val="Normal"/>
        <w:numPr>
          <w:ilvl w:val="3"/>
          <w:numId w:val="13"/>
        </w:numPr>
        <w:spacing w:lineRule="auto" w:line="240" w:before="0" w:after="0"/>
        <w:ind w:hanging="360" w:start="709"/>
        <w:jc w:val="both"/>
        <w:rPr>
          <w:rFonts w:ascii="Arial" w:hAnsi="Arial" w:cs="Arial"/>
        </w:rPr>
      </w:pPr>
      <w:r>
        <w:rPr>
          <w:rFonts w:cs="Arial" w:ascii="Arial" w:hAnsi="Arial"/>
        </w:rPr>
        <w:t xml:space="preserve">Pojazd musi zostać wyposażony w system uprzywilejowania w ruchu drogowym, </w:t>
        <w:br/>
        <w:t xml:space="preserve">w którego skład wchodzić muszą urządzenia określone w pkt od 2 do 11. </w:t>
      </w:r>
    </w:p>
    <w:p>
      <w:pPr>
        <w:pStyle w:val="Normal"/>
        <w:numPr>
          <w:ilvl w:val="3"/>
          <w:numId w:val="13"/>
        </w:numPr>
        <w:spacing w:lineRule="auto" w:line="240" w:before="0" w:after="0"/>
        <w:ind w:hanging="360" w:start="709"/>
        <w:jc w:val="both"/>
        <w:rPr>
          <w:rFonts w:ascii="Arial" w:hAnsi="Arial" w:cs="Arial"/>
        </w:rPr>
      </w:pPr>
      <w:r>
        <w:rPr>
          <w:rFonts w:cs="Arial" w:ascii="Arial" w:hAnsi="Arial"/>
        </w:rPr>
        <w:t>Pojazd musi posiadać lampę LED o kloszu w kolorze niebieskim o barwie światła niebieskiej z mocowaniem magnetycznym oraz lampę LED o kloszu w kolorze czerwonym o barwie światła czerwonej z mocowaniem magnetycznym. Każda z lamp musi posiadać przewód spiralny o długości w zakresie od 5 do 5,5 metra w stanie rozciągniętym służący do jej zasilania z gniazd, o których mowa w pkt 14.</w:t>
      </w:r>
      <w:r>
        <w:rPr>
          <w:rFonts w:cs="Arial" w:ascii="Arial" w:hAnsi="Arial"/>
          <w:color w:val="FF0000"/>
        </w:rPr>
        <w:t xml:space="preserve"> </w:t>
      </w:r>
      <w:r>
        <w:rPr>
          <w:rFonts w:cs="Arial" w:ascii="Arial" w:hAnsi="Arial"/>
        </w:rPr>
        <w:t xml:space="preserve">Podstawy lamp nie mogą powodować uszkodzeń powłoki lakierniczej dachu pojazdu. Sposób mocowania lamp musi zapewniać możliwość jazdy pojazdem z maksymalną prędkością określoną dla pojazdu bazowego. </w:t>
      </w:r>
      <w:r>
        <w:rPr>
          <w:rFonts w:cs="Arial" w:ascii="Arial" w:hAnsi="Arial"/>
          <w:b/>
        </w:rPr>
        <w:t xml:space="preserve">Wymóg musi być potwierdzony badaniem wykonanym przez właściwą akredytowaną jednostkę badawczą. Wyniki badań muszą być uzyskane </w:t>
      </w:r>
      <w:r>
        <w:rPr>
          <w:rFonts w:cs="Arial" w:ascii="Arial" w:hAnsi="Arial"/>
        </w:rPr>
        <w:t xml:space="preserve">na </w:t>
      </w:r>
      <w:r>
        <w:rPr>
          <w:rFonts w:cs="Arial" w:ascii="Arial" w:hAnsi="Arial"/>
          <w:b/>
        </w:rPr>
        <w:t>podstawie badań drogowych i muszą uwzględniać drgania spowodowane nierównościami nawierzchni drogi, przeciążenia wynikające z</w:t>
      </w:r>
      <w:r>
        <w:rPr>
          <w:rFonts w:cs="Arial" w:ascii="Arial" w:hAnsi="Arial"/>
        </w:rPr>
        <w:t xml:space="preserve"> </w:t>
      </w:r>
      <w:r>
        <w:rPr>
          <w:rFonts w:cs="Arial" w:ascii="Arial" w:hAnsi="Arial"/>
          <w:b/>
        </w:rPr>
        <w:t xml:space="preserve">poruszania się pojazdu po łuku, nagłego hamowania oraz podmuchu wiatru. Dokument potwierdzający spełnienie wymogu musi być przedstawiony przez Wykonawcę w fazie oceny projektu modyfikacji pojazdu. </w:t>
      </w:r>
      <w:r>
        <w:rPr>
          <w:rFonts w:cs="Arial" w:ascii="Arial" w:hAnsi="Arial"/>
        </w:rPr>
        <w:t xml:space="preserve">Wykonawca we wnętrzu pojazdu musi zapewnić miejsca do przewozu lamp LED umożliwiające ich łatwe podłączenie i umieszczenie na dachu pojazdu przez funkcjonariuszy poruszających się pojazdem. </w:t>
      </w:r>
    </w:p>
    <w:p>
      <w:pPr>
        <w:pStyle w:val="Normal"/>
        <w:numPr>
          <w:ilvl w:val="3"/>
          <w:numId w:val="13"/>
        </w:numPr>
        <w:spacing w:lineRule="auto" w:line="240" w:before="0" w:after="0"/>
        <w:ind w:hanging="360" w:start="709"/>
        <w:jc w:val="both"/>
        <w:rPr>
          <w:rFonts w:ascii="Arial" w:hAnsi="Arial" w:cs="Arial"/>
        </w:rPr>
      </w:pPr>
      <w:r>
        <w:rPr>
          <w:rFonts w:cs="Arial" w:ascii="Arial" w:hAnsi="Arial"/>
        </w:rPr>
        <w:t xml:space="preserve">W przedniej części pojazdu, w atrapie chłodnicy lub w zderzaku przednim muszą być zamontowane w sposób skryty (zakamuflowany) dwie lampy LED o kloszach bezbarwnych, o barwie światła niebieskiej. Lampy muszą być zamocowane w sposób umożliwiający mycie pojazdu w myjni automatycznej szczotkowej bez konieczności ich demontażu. Lampy muszą świecić naprzemiennie. </w:t>
      </w:r>
    </w:p>
    <w:p>
      <w:pPr>
        <w:pStyle w:val="Normal"/>
        <w:numPr>
          <w:ilvl w:val="3"/>
          <w:numId w:val="13"/>
        </w:numPr>
        <w:spacing w:lineRule="auto" w:line="240" w:before="0" w:after="0"/>
        <w:ind w:hanging="360" w:start="709"/>
        <w:jc w:val="both"/>
        <w:rPr>
          <w:rFonts w:ascii="Arial" w:hAnsi="Arial" w:cs="Arial"/>
        </w:rPr>
      </w:pPr>
      <w:r>
        <w:rPr>
          <w:rFonts w:cs="Arial" w:ascii="Arial" w:hAnsi="Arial"/>
        </w:rPr>
        <w:t xml:space="preserve">W górnej środkowej części przedniej szyby, pomiędzy lusterkiem wewnętrznym </w:t>
        <w:br/>
        <w:t xml:space="preserve">a przednią szybą, musi być zamontowana dodatkowa lampa LED o kloszu bezbarwnym o barwie światła niebieskiej wyposażona w osłonę antyrefleksyjną. </w:t>
      </w:r>
    </w:p>
    <w:p>
      <w:pPr>
        <w:pStyle w:val="Normal"/>
        <w:numPr>
          <w:ilvl w:val="3"/>
          <w:numId w:val="13"/>
        </w:numPr>
        <w:spacing w:lineRule="auto" w:line="240" w:before="0" w:after="0"/>
        <w:ind w:hanging="360" w:start="709"/>
        <w:jc w:val="both"/>
        <w:rPr>
          <w:rFonts w:ascii="Arial" w:hAnsi="Arial" w:cs="Arial"/>
        </w:rPr>
      </w:pPr>
      <w:r>
        <w:rPr>
          <w:rFonts w:cs="Arial" w:ascii="Arial" w:hAnsi="Arial"/>
        </w:rPr>
        <w:t xml:space="preserve">Każda z lamp LED, o których mowa w pkt 3 i 4 musi posiadać jeden rząd </w:t>
        <w:br/>
        <w:t xml:space="preserve">z co najmniej czterema LED-ami o wysokiej światłości. </w:t>
      </w:r>
    </w:p>
    <w:p>
      <w:pPr>
        <w:pStyle w:val="Normal"/>
        <w:numPr>
          <w:ilvl w:val="3"/>
          <w:numId w:val="13"/>
        </w:numPr>
        <w:spacing w:lineRule="auto" w:line="240" w:before="0" w:after="0"/>
        <w:ind w:hanging="360" w:start="709"/>
        <w:jc w:val="both"/>
        <w:rPr>
          <w:rFonts w:ascii="Arial" w:hAnsi="Arial" w:cs="Arial"/>
        </w:rPr>
      </w:pPr>
      <w:r>
        <w:rPr>
          <w:rFonts w:cs="Arial" w:ascii="Arial" w:hAnsi="Arial"/>
        </w:rPr>
        <w:t xml:space="preserve">Pojazd musi posiadać po wewnętrznej stronie dolnej, lewej i prawej, skrajnej części drzwi/klapy tyłu nadwozia zamontowane dwie lampy LED o barwie światła niebieskiej. Każda z lamp musi posiada łącznie, co najmniej cztery diody LED wysokiej światłości. Lampy muszą świecić naprzemiennie. Lampy te muszą załączać się automatycznie po otwarciu drzwi/klapy tyłu nadwozia w przypadku działania głównych świateł uprzywilejowania i być widoczne z tyłu pojazdu. Wymiary lamp muszą umożliwiać ich zamontowanie do wewnętrznej powierzchni drzwi/klapy, która po ich otwarciu będzie znajdowała się w najwyższym punkcie mierzonym od powierzchni gruntu. Sposób i miejsce montażu lamp musi ograniczać możliwość ich przesłonięcia przez funkcjonariuszy korzystających z przestrzeni bagażowej oraz musi zabezpieczać lampy przed uszkodzeniem przez wyposażenie przewożone w przestrzeni bagażowej. </w:t>
      </w:r>
    </w:p>
    <w:p>
      <w:pPr>
        <w:pStyle w:val="Normal"/>
        <w:numPr>
          <w:ilvl w:val="3"/>
          <w:numId w:val="13"/>
        </w:numPr>
        <w:spacing w:lineRule="auto" w:line="240" w:before="0" w:after="0"/>
        <w:ind w:hanging="360" w:start="709"/>
        <w:jc w:val="both"/>
        <w:rPr>
          <w:rFonts w:ascii="Arial" w:hAnsi="Arial" w:cs="Arial"/>
        </w:rPr>
      </w:pPr>
      <w:r>
        <w:rPr>
          <w:rFonts w:cs="Arial" w:ascii="Arial" w:hAnsi="Arial"/>
        </w:rPr>
        <w:t xml:space="preserve">Pojazd musi posiadać tablicę świetlną tekstową zamontowaną wewnątrz pojazdu pomiędzy zagłówkami siedzeń II rzędu a tylną szybą, przeznaczoną do wysyłania poleceń o przykładowej treści: „STOP POLICJA", „JEDŹ ZA MNĄ", Wyposażoną w dwie lampy LED o kloszu w kolorze niebieskim o barwie światła niebieskiej. Każda z lamp musi posiadać jeden rząd, z co najmniej trzema LED-ami </w:t>
        <w:br/>
        <w:t xml:space="preserve">o wysokiej światłości. Lampy muszą świecić naprzemiennie. Tablica musi posiadać mechanizm pozwalający na jej automatyczne składanie i otwieranie. W chwili włączenia sygnalizacji świetlnej uprzywilejowania pojazdu tablica świetlna wraz ze światłami uprzywilejowania nie będzie się automatycznie podnosić musi jednak w takiej sytuacji istnieć możliwość podniesienia tablicy świetlnej wraz ze światłami uprzywilejowania za pomocą panelu sterującego. Sterowanie tablicą musi odbywać się za pomocą panelu umieszczonego w miejscu łatwo dostępnym dla kierowcy i dysponenta. Treść komunikatów wyświetlana na tablicy świetlnej musi być jednocześnie widoczna na panelu. Tablica świetlna musi mieć możliwość wyświetlania, co najmniej wszystkich cyfr arabskich i liter polskiego alfabetu. Musi również istnieć możliwość samodzielnego wyboru przez użytkowników bezpośrednio </w:t>
        <w:br/>
        <w:t xml:space="preserve">z panelu tablicy świetlnej, co najmniej 50-ciu różnych komunikatów, które będą przechowywane w wewnętrznej nieulotnej pamięci. Musi również istnieć możliwość samodzielnego edytowania przez użytkowników treści ww. komunikatów (bez ponoszenia dodatkowych kosztów przez Zamawiającego). Wykonawca dostarczy stosowną instrukcję obsługi dla tablicy świetlnej wykonaną w języku polskim. </w:t>
      </w:r>
    </w:p>
    <w:p>
      <w:pPr>
        <w:pStyle w:val="Normal"/>
        <w:numPr>
          <w:ilvl w:val="3"/>
          <w:numId w:val="13"/>
        </w:numPr>
        <w:spacing w:lineRule="auto" w:line="240" w:before="0" w:after="0"/>
        <w:ind w:hanging="360" w:start="709"/>
        <w:jc w:val="both"/>
        <w:rPr>
          <w:rFonts w:ascii="Arial" w:hAnsi="Arial" w:cs="Arial"/>
        </w:rPr>
      </w:pPr>
      <w:r>
        <w:rPr>
          <w:rFonts w:cs="Arial" w:ascii="Arial" w:hAnsi="Arial"/>
        </w:rPr>
        <w:t xml:space="preserve">Zastosowane w pojeździe lampy uprzywilejowania w ruchu drogowym muszą: </w:t>
      </w:r>
    </w:p>
    <w:p>
      <w:pPr>
        <w:pStyle w:val="Normal"/>
        <w:numPr>
          <w:ilvl w:val="6"/>
          <w:numId w:val="4"/>
        </w:numPr>
        <w:tabs>
          <w:tab w:val="clear" w:pos="708"/>
          <w:tab w:val="left" w:pos="993" w:leader="none"/>
        </w:tabs>
        <w:spacing w:lineRule="auto" w:line="240" w:before="0" w:after="0"/>
        <w:ind w:start="709"/>
        <w:jc w:val="both"/>
        <w:rPr>
          <w:rFonts w:ascii="Arial" w:hAnsi="Arial" w:cs="Arial"/>
        </w:rPr>
      </w:pPr>
      <w:r>
        <w:rPr>
          <w:rFonts w:cs="Arial" w:ascii="Arial" w:hAnsi="Arial"/>
        </w:rPr>
        <w:t>posiadać homologację,</w:t>
      </w:r>
    </w:p>
    <w:p>
      <w:pPr>
        <w:pStyle w:val="Normal"/>
        <w:tabs>
          <w:tab w:val="clear" w:pos="708"/>
          <w:tab w:val="left" w:pos="993" w:leader="none"/>
        </w:tabs>
        <w:spacing w:lineRule="auto" w:line="240" w:before="0" w:after="0"/>
        <w:ind w:start="709"/>
        <w:jc w:val="both"/>
        <w:rPr>
          <w:rFonts w:ascii="Arial" w:hAnsi="Arial" w:cs="Arial"/>
        </w:rPr>
      </w:pPr>
      <w:r>
        <w:rPr>
          <w:rFonts w:cs="Arial" w:ascii="Arial" w:hAnsi="Arial"/>
        </w:rPr>
        <w:t>być zamontowane lub umieszczone w taki sposób, aby źródło światła było skierowane prostopadle do osi poziomej pojazdu,</w:t>
      </w:r>
    </w:p>
    <w:p>
      <w:pPr>
        <w:pStyle w:val="Normal"/>
        <w:numPr>
          <w:ilvl w:val="6"/>
          <w:numId w:val="4"/>
        </w:numPr>
        <w:tabs>
          <w:tab w:val="clear" w:pos="708"/>
          <w:tab w:val="left" w:pos="993" w:leader="none"/>
        </w:tabs>
        <w:spacing w:lineRule="auto" w:line="240" w:before="0" w:after="0"/>
        <w:ind w:hanging="284" w:start="993"/>
        <w:jc w:val="both"/>
        <w:rPr>
          <w:rFonts w:ascii="Arial" w:hAnsi="Arial" w:cs="Arial"/>
        </w:rPr>
      </w:pPr>
      <w:r>
        <w:rPr>
          <w:rFonts w:cs="Arial" w:ascii="Arial" w:hAnsi="Arial"/>
        </w:rPr>
        <w:t xml:space="preserve">posiadać klosze wykonane z poliwęglanu. </w:t>
      </w:r>
    </w:p>
    <w:p>
      <w:pPr>
        <w:pStyle w:val="Normal"/>
        <w:numPr>
          <w:ilvl w:val="3"/>
          <w:numId w:val="13"/>
        </w:numPr>
        <w:spacing w:lineRule="auto" w:line="240" w:before="0" w:after="0"/>
        <w:ind w:hanging="360" w:start="709"/>
        <w:jc w:val="both"/>
        <w:rPr>
          <w:rFonts w:ascii="Arial" w:hAnsi="Arial" w:cs="Arial"/>
        </w:rPr>
      </w:pPr>
      <w:r>
        <w:rPr>
          <w:rFonts w:cs="Arial" w:ascii="Arial" w:hAnsi="Arial"/>
        </w:rPr>
        <w:t xml:space="preserve">Po zamontowaniu w pojeździe urządzenie wysyłające ostrzegawcze sygnały dźwiękowe uprzywilejowania pojazdu w ruchu drogowym i rozgłaszające komunikaty musi: </w:t>
      </w:r>
    </w:p>
    <w:p>
      <w:pPr>
        <w:pStyle w:val="Normal"/>
        <w:numPr>
          <w:ilvl w:val="6"/>
          <w:numId w:val="1"/>
        </w:numPr>
        <w:tabs>
          <w:tab w:val="clear" w:pos="708"/>
          <w:tab w:val="left" w:pos="993" w:leader="none"/>
        </w:tabs>
        <w:spacing w:lineRule="auto" w:line="240" w:before="0" w:after="0"/>
        <w:ind w:hanging="284" w:start="993"/>
        <w:jc w:val="both"/>
        <w:rPr>
          <w:rFonts w:ascii="Arial" w:hAnsi="Arial" w:cs="Arial"/>
        </w:rPr>
      </w:pPr>
      <w:r>
        <w:rPr>
          <w:rFonts w:cs="Arial" w:ascii="Arial" w:hAnsi="Arial"/>
        </w:rPr>
        <w:t>wytwarzać dźwięki, których ekwiwalentny poziom ciśnienia akustycznego wg krzywej korekcyjnej A mierzony całkującym miernikiem poziomu d</w:t>
      </w:r>
      <w:bookmarkStart w:id="0" w:name="_GoBack"/>
      <w:bookmarkEnd w:id="0"/>
      <w:r>
        <w:rPr>
          <w:rFonts w:cs="Arial" w:ascii="Arial" w:hAnsi="Arial"/>
        </w:rPr>
        <w:t>źwięku  umieszczonym w odległości 7 m od przedniego zderzaka pojazdu musi zawierać się w granicach 105 dB(A) + 115 dB(A), dla każdego rodzaju dźwięku. Warunki badań wg PN-92/S-76004 lub regulaminu 28 EKG ONZ. Wymóg musi być potwierdzony badaniem wykonanym przez właściwą akredytowaną jednostkę badawczą. Dokument potwierdzający spełnienie wymogu musi być przedstawiony przez Wykonawcę w fazie odbioru pojazdów,</w:t>
      </w:r>
    </w:p>
    <w:p>
      <w:pPr>
        <w:pStyle w:val="Normal"/>
        <w:numPr>
          <w:ilvl w:val="6"/>
          <w:numId w:val="1"/>
        </w:numPr>
        <w:tabs>
          <w:tab w:val="clear" w:pos="708"/>
          <w:tab w:val="left" w:pos="993" w:leader="none"/>
        </w:tabs>
        <w:spacing w:lineRule="auto" w:line="240" w:before="0" w:after="0"/>
        <w:ind w:hanging="284" w:start="993"/>
        <w:jc w:val="both"/>
        <w:rPr>
          <w:rFonts w:ascii="Arial" w:hAnsi="Arial" w:cs="Arial"/>
        </w:rPr>
      </w:pPr>
      <w:r>
        <w:rPr>
          <w:rFonts w:cs="Arial" w:ascii="Arial" w:hAnsi="Arial"/>
        </w:rPr>
        <w:t>wytwarzać dźwięki, których ekwiwalentny poziom ciśnienia akustycznego wg krzywej korekcyjnej A mierzony całkującym miernikiem poziomu dźwięku w kabinie, na postoju nie może przekraczać 80 dB(A), dla każdego rodzaju dźwięku. Warunki badań wg PN-90/S-04052 ISO 5128. Wymóg musi być potwierdzony badaniem wykonanym przez właściwą akredytowaną jednostkę badawczą. Dokument potwierdzający spełnienie wymogu musi być przedstawiony przez Wykonawcę w fazie odbioru pojazdów,</w:t>
      </w:r>
    </w:p>
    <w:p>
      <w:pPr>
        <w:pStyle w:val="Normal"/>
        <w:numPr>
          <w:ilvl w:val="6"/>
          <w:numId w:val="1"/>
        </w:numPr>
        <w:tabs>
          <w:tab w:val="clear" w:pos="708"/>
          <w:tab w:val="left" w:pos="993" w:leader="none"/>
        </w:tabs>
        <w:spacing w:lineRule="auto" w:line="240" w:before="0" w:after="0"/>
        <w:ind w:hanging="284" w:start="993"/>
        <w:jc w:val="both"/>
        <w:rPr>
          <w:rFonts w:ascii="Arial" w:hAnsi="Arial" w:cs="Arial"/>
        </w:rPr>
      </w:pPr>
      <w:r>
        <w:rPr>
          <w:rFonts w:cs="Arial" w:ascii="Arial" w:hAnsi="Arial"/>
        </w:rPr>
        <w:t>być zamontowane w komorze silnika w sposób nieutrudniający dostępu do innych elementów pojazdu,</w:t>
      </w:r>
    </w:p>
    <w:p>
      <w:pPr>
        <w:pStyle w:val="Normal"/>
        <w:numPr>
          <w:ilvl w:val="6"/>
          <w:numId w:val="1"/>
        </w:numPr>
        <w:tabs>
          <w:tab w:val="clear" w:pos="708"/>
          <w:tab w:val="left" w:pos="993" w:leader="none"/>
        </w:tabs>
        <w:spacing w:lineRule="auto" w:line="240" w:before="0" w:after="0"/>
        <w:ind w:hanging="284" w:start="993"/>
        <w:jc w:val="both"/>
        <w:rPr>
          <w:rFonts w:ascii="Arial" w:hAnsi="Arial" w:cs="Arial"/>
        </w:rPr>
      </w:pPr>
      <w:r>
        <w:rPr>
          <w:rFonts w:cs="Arial" w:ascii="Arial" w:hAnsi="Arial"/>
        </w:rPr>
        <w:t xml:space="preserve">spełniać wymagania dla obudów ochronnych, co najmniej w klasie IP 56 wg normy PNEN 60529:2003. Dokument potwierdzający spełnienie wymogu musi być przedstawiony przez Wykonawcę w fazie oceny projektu modyfikacji. </w:t>
      </w:r>
    </w:p>
    <w:p>
      <w:pPr>
        <w:pStyle w:val="Normal"/>
        <w:tabs>
          <w:tab w:val="clear" w:pos="708"/>
          <w:tab w:val="left" w:pos="993" w:leader="none"/>
        </w:tabs>
        <w:spacing w:lineRule="auto" w:line="240" w:before="0" w:after="0"/>
        <w:jc w:val="both"/>
        <w:rPr>
          <w:rFonts w:ascii="Arial" w:hAnsi="Arial" w:cs="Arial"/>
        </w:rPr>
      </w:pPr>
      <w:r>
        <w:rPr>
          <w:rFonts w:cs="Arial" w:ascii="Arial" w:hAnsi="Arial"/>
        </w:rPr>
        <w:t xml:space="preserve">10.Urządzenie, o którym mowa w pkt 9 musi ponadto posiadać funkcje: </w:t>
      </w:r>
    </w:p>
    <w:p>
      <w:pPr>
        <w:pStyle w:val="Normal"/>
        <w:numPr>
          <w:ilvl w:val="6"/>
          <w:numId w:val="3"/>
        </w:numPr>
        <w:spacing w:lineRule="auto" w:line="240" w:before="0" w:after="0"/>
        <w:ind w:hanging="283" w:start="1134"/>
        <w:jc w:val="both"/>
        <w:rPr>
          <w:rFonts w:ascii="Arial" w:hAnsi="Arial" w:cs="Arial"/>
        </w:rPr>
      </w:pPr>
      <w:r>
        <w:rPr>
          <w:rFonts w:cs="Arial" w:ascii="Arial" w:hAnsi="Arial"/>
        </w:rPr>
        <w:t>wytwarzania, co najmniej 3 rodzajów dźwięków,</w:t>
      </w:r>
    </w:p>
    <w:p>
      <w:pPr>
        <w:pStyle w:val="Normal"/>
        <w:numPr>
          <w:ilvl w:val="6"/>
          <w:numId w:val="3"/>
        </w:numPr>
        <w:spacing w:lineRule="auto" w:line="240" w:before="0" w:after="0"/>
        <w:ind w:hanging="283" w:start="1134"/>
        <w:jc w:val="both"/>
        <w:rPr>
          <w:rFonts w:ascii="Arial" w:hAnsi="Arial" w:cs="Arial"/>
        </w:rPr>
      </w:pPr>
      <w:r>
        <w:rPr>
          <w:rFonts w:cs="Arial" w:ascii="Arial" w:hAnsi="Arial"/>
        </w:rPr>
        <w:t>przełączania tonu sygnału uprzywilejowania: „Le-on", „Wilk", „Pies" (Hi-lo, Yelp, Wail) co najmniej z wykorzystaniem klaksonu pojazdu,</w:t>
      </w:r>
    </w:p>
    <w:p>
      <w:pPr>
        <w:pStyle w:val="Normal"/>
        <w:numPr>
          <w:ilvl w:val="6"/>
          <w:numId w:val="3"/>
        </w:numPr>
        <w:spacing w:lineRule="auto" w:line="240" w:before="0" w:after="0"/>
        <w:ind w:hanging="283" w:start="1134"/>
        <w:jc w:val="both"/>
        <w:rPr>
          <w:rFonts w:ascii="Arial" w:hAnsi="Arial" w:cs="Arial"/>
        </w:rPr>
      </w:pPr>
      <w:r>
        <w:rPr>
          <w:rFonts w:cs="Arial" w:ascii="Arial" w:hAnsi="Arial"/>
        </w:rPr>
        <w:t>sterowania lampami sygnalizacji świetlnej, o których mowa w pkt. 2, 3,.4 i.5,</w:t>
      </w:r>
    </w:p>
    <w:p>
      <w:pPr>
        <w:pStyle w:val="Normal"/>
        <w:numPr>
          <w:ilvl w:val="6"/>
          <w:numId w:val="3"/>
        </w:numPr>
        <w:spacing w:lineRule="auto" w:line="240" w:before="0" w:after="0"/>
        <w:ind w:hanging="283" w:start="1134"/>
        <w:jc w:val="both"/>
        <w:rPr>
          <w:rFonts w:ascii="Arial" w:hAnsi="Arial" w:cs="Arial"/>
        </w:rPr>
      </w:pPr>
      <w:r>
        <w:rPr>
          <w:rFonts w:cs="Arial" w:ascii="Arial" w:hAnsi="Arial"/>
        </w:rPr>
        <w:t xml:space="preserve">rozgłaszania komunikatów i sterowania urządzeniem rozgłoszeniowym. </w:t>
      </w:r>
    </w:p>
    <w:p>
      <w:pPr>
        <w:pStyle w:val="ListParagraph"/>
        <w:numPr>
          <w:ilvl w:val="0"/>
          <w:numId w:val="14"/>
        </w:numPr>
        <w:tabs>
          <w:tab w:val="clear" w:pos="708"/>
          <w:tab w:val="left" w:pos="851" w:leader="none"/>
        </w:tabs>
        <w:spacing w:lineRule="auto" w:line="240" w:before="0" w:after="0"/>
        <w:contextualSpacing/>
        <w:jc w:val="both"/>
        <w:rPr>
          <w:rFonts w:ascii="Arial" w:hAnsi="Arial" w:cs="Arial"/>
        </w:rPr>
      </w:pPr>
      <w:r>
        <w:rPr>
          <w:rFonts w:cs="Arial" w:ascii="Arial" w:hAnsi="Arial"/>
        </w:rPr>
        <w:t xml:space="preserve">We wnętrzu pojazdu w miejscu gwarantującym łatwą obsługę przez dysponenta </w:t>
        <w:br/>
        <w:t>i kierowcę musi być zamontowany manipulator (z wbudowanym mikrofonem) umożliwiający sterowanie urządzeniem, o którym mowa w pkt 9 i 10.</w:t>
      </w:r>
    </w:p>
    <w:p>
      <w:pPr>
        <w:pStyle w:val="ListParagraph"/>
        <w:numPr>
          <w:ilvl w:val="0"/>
          <w:numId w:val="14"/>
        </w:numPr>
        <w:tabs>
          <w:tab w:val="clear" w:pos="708"/>
          <w:tab w:val="left" w:pos="851" w:leader="none"/>
        </w:tabs>
        <w:spacing w:lineRule="auto" w:line="240" w:before="0" w:after="0"/>
        <w:contextualSpacing/>
        <w:jc w:val="both"/>
        <w:rPr>
          <w:rFonts w:ascii="Arial" w:hAnsi="Arial" w:cs="Arial"/>
        </w:rPr>
      </w:pPr>
      <w:r>
        <w:rPr>
          <w:rFonts w:cs="Arial" w:ascii="Arial" w:hAnsi="Arial"/>
        </w:rPr>
        <w:t xml:space="preserve">Działanie systemu sygnalizacji uprzywilejowania pojazdu w ruchu drogowym musi spełniać następujące warunki: </w:t>
      </w:r>
    </w:p>
    <w:p>
      <w:pPr>
        <w:pStyle w:val="Normal"/>
        <w:numPr>
          <w:ilvl w:val="6"/>
          <w:numId w:val="2"/>
        </w:numPr>
        <w:tabs>
          <w:tab w:val="clear" w:pos="708"/>
          <w:tab w:val="left" w:pos="1134" w:leader="none"/>
        </w:tabs>
        <w:spacing w:lineRule="auto" w:line="240" w:before="0" w:after="0"/>
        <w:ind w:hanging="283" w:start="1134"/>
        <w:jc w:val="both"/>
        <w:rPr>
          <w:rFonts w:ascii="Arial" w:hAnsi="Arial" w:cs="Arial"/>
        </w:rPr>
      </w:pPr>
      <w:r>
        <w:rPr>
          <w:rFonts w:cs="Arial" w:ascii="Arial" w:hAnsi="Arial"/>
        </w:rPr>
        <w:t>włączenie sygnalizacji dźwiękowej musi pociągać za sobą jednocześnie włączenie sygnalizacji świetlnej (nie może być możliwości włączenia samej sygnalizacji dźwiękowej, tj. bez równoczesnej sygnalizacji świetlnej),</w:t>
      </w:r>
    </w:p>
    <w:p>
      <w:pPr>
        <w:pStyle w:val="Normal"/>
        <w:numPr>
          <w:ilvl w:val="6"/>
          <w:numId w:val="2"/>
        </w:numPr>
        <w:tabs>
          <w:tab w:val="clear" w:pos="708"/>
          <w:tab w:val="left" w:pos="1134" w:leader="none"/>
        </w:tabs>
        <w:spacing w:lineRule="auto" w:line="240" w:before="0" w:after="0"/>
        <w:ind w:hanging="283" w:start="1134"/>
        <w:jc w:val="both"/>
        <w:rPr>
          <w:rFonts w:ascii="Arial" w:hAnsi="Arial" w:cs="Arial"/>
        </w:rPr>
      </w:pPr>
      <w:r>
        <w:rPr>
          <w:rFonts w:cs="Arial" w:ascii="Arial" w:hAnsi="Arial"/>
        </w:rPr>
        <w:t>musi istnieć możliwość włączenia samej sygnalizacji świetlnej (bez sygnalizacji dźwiękowej),</w:t>
      </w:r>
    </w:p>
    <w:p>
      <w:pPr>
        <w:pStyle w:val="Normal"/>
        <w:numPr>
          <w:ilvl w:val="6"/>
          <w:numId w:val="2"/>
        </w:numPr>
        <w:tabs>
          <w:tab w:val="clear" w:pos="708"/>
          <w:tab w:val="left" w:pos="1134" w:leader="none"/>
        </w:tabs>
        <w:spacing w:lineRule="auto" w:line="240" w:before="0" w:after="0"/>
        <w:ind w:hanging="283" w:start="1134"/>
        <w:jc w:val="both"/>
        <w:rPr>
          <w:rFonts w:ascii="Arial" w:hAnsi="Arial" w:cs="Arial"/>
        </w:rPr>
      </w:pPr>
      <w:r>
        <w:rPr>
          <w:rFonts w:cs="Arial" w:ascii="Arial" w:hAnsi="Arial"/>
        </w:rPr>
        <w:t>włączenie lamp uprzywilejowania pojazdu w ruchu drogowym musi być sygnalizowane lampką kontrolną,</w:t>
      </w:r>
    </w:p>
    <w:p>
      <w:pPr>
        <w:pStyle w:val="Normal"/>
        <w:numPr>
          <w:ilvl w:val="6"/>
          <w:numId w:val="2"/>
        </w:numPr>
        <w:tabs>
          <w:tab w:val="clear" w:pos="708"/>
          <w:tab w:val="left" w:pos="1134" w:leader="none"/>
        </w:tabs>
        <w:spacing w:lineRule="auto" w:line="240" w:before="0" w:after="0"/>
        <w:ind w:hanging="283" w:start="1134"/>
        <w:jc w:val="both"/>
        <w:rPr>
          <w:rFonts w:ascii="Arial" w:hAnsi="Arial" w:cs="Arial"/>
        </w:rPr>
      </w:pPr>
      <w:r>
        <w:rPr>
          <w:rFonts w:cs="Arial" w:ascii="Arial" w:hAnsi="Arial"/>
        </w:rPr>
        <w:t>włączenie urządzenia rozgłoszeniowego musi przerywać emisję dźwiękowych sygnałów ostrzegawczych, zaś jego wyłączenie powodować dalszą pracę sygnalizacji dźwiękowej, o ile była ona wcześniej włączona,</w:t>
      </w:r>
    </w:p>
    <w:p>
      <w:pPr>
        <w:pStyle w:val="Normal"/>
        <w:numPr>
          <w:ilvl w:val="6"/>
          <w:numId w:val="2"/>
        </w:numPr>
        <w:tabs>
          <w:tab w:val="clear" w:pos="708"/>
          <w:tab w:val="left" w:pos="1134" w:leader="none"/>
        </w:tabs>
        <w:spacing w:lineRule="auto" w:line="240" w:before="0" w:after="0"/>
        <w:ind w:hanging="283" w:start="1134"/>
        <w:jc w:val="both"/>
        <w:rPr>
          <w:rFonts w:ascii="Arial" w:hAnsi="Arial" w:cs="Arial"/>
        </w:rPr>
      </w:pPr>
      <w:r>
        <w:rPr>
          <w:rFonts w:cs="Arial" w:ascii="Arial" w:hAnsi="Arial"/>
        </w:rPr>
        <w:t>działanie sygnalizacji świetlnej musi być możliwe również przy wyjętym kluczyku ze stacyjki pojazdu,</w:t>
      </w:r>
    </w:p>
    <w:p>
      <w:pPr>
        <w:pStyle w:val="Normal"/>
        <w:numPr>
          <w:ilvl w:val="6"/>
          <w:numId w:val="2"/>
        </w:numPr>
        <w:tabs>
          <w:tab w:val="clear" w:pos="708"/>
          <w:tab w:val="left" w:pos="1134" w:leader="none"/>
        </w:tabs>
        <w:spacing w:lineRule="auto" w:line="240" w:before="0" w:after="0"/>
        <w:ind w:hanging="283" w:start="1134"/>
        <w:jc w:val="both"/>
        <w:rPr>
          <w:rFonts w:ascii="Arial" w:hAnsi="Arial" w:cs="Arial"/>
        </w:rPr>
      </w:pPr>
      <w:r>
        <w:rPr>
          <w:rFonts w:cs="Arial" w:ascii="Arial" w:hAnsi="Arial"/>
        </w:rPr>
        <w:t xml:space="preserve">przy zapalonych światłach do jazdy dziennej włączenie sygnalizacji dźwiękowej musi pociągać za sobą włączenie świateł mijania, a wyłączenie sygnalizacji dźwiękowej musi powodować wyłączenie świateł mijania i powrót do funkcji świecenia świateł do jazdy dziennej. </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ListParagraph"/>
        <w:numPr>
          <w:ilvl w:val="0"/>
          <w:numId w:val="14"/>
        </w:numPr>
        <w:spacing w:lineRule="auto" w:line="240" w:before="0" w:after="0"/>
        <w:contextualSpacing/>
        <w:jc w:val="both"/>
        <w:rPr>
          <w:rFonts w:ascii="Arial" w:hAnsi="Arial" w:cs="Arial"/>
        </w:rPr>
      </w:pPr>
      <w:r>
        <w:rPr>
          <w:rFonts w:cs="Arial" w:ascii="Arial" w:hAnsi="Arial"/>
        </w:rPr>
        <w:t xml:space="preserve">Pojazd musi posiadać zmodyfikowane fabryczne gniazdo zapalniczki o prądzie obciążenia min. 10 A oraz dwa gniazda USB każde o prądzie obciążenia min. 2 A. Wszystkie gniazda muszą być zasilane bez względu na położenie włącznika zapłonu. </w:t>
      </w:r>
    </w:p>
    <w:p>
      <w:pPr>
        <w:pStyle w:val="ListParagraph"/>
        <w:numPr>
          <w:ilvl w:val="0"/>
          <w:numId w:val="14"/>
        </w:numPr>
        <w:spacing w:lineRule="auto" w:line="240" w:before="0" w:after="0"/>
        <w:contextualSpacing/>
        <w:jc w:val="both"/>
        <w:rPr>
          <w:rFonts w:ascii="Arial" w:hAnsi="Arial" w:cs="Arial"/>
        </w:rPr>
      </w:pPr>
      <w:r>
        <w:rPr>
          <w:rFonts w:cs="Arial" w:ascii="Arial" w:hAnsi="Arial"/>
        </w:rPr>
        <w:t xml:space="preserve"> </w:t>
      </w:r>
      <w:r>
        <w:rPr>
          <w:rFonts w:cs="Arial" w:ascii="Arial" w:hAnsi="Arial"/>
        </w:rPr>
        <w:t xml:space="preserve">Pojazd musi posiadać dodatkowe dwa gniazda zapalniczki z zaślepkami, zamontowane po lewej i prawej stronie wnętrza pojazdu w miejscach łatwo dostępnych dla kierowcy  i dysponenta, zasilane bez względu na położenie włącznika zapłonu, każde o prądzie obciążenia min. 10 A, służące do zasiania lamp sygnalizacji uprzywilejowania, o których mowa w pkt 1.5.5.2. </w:t>
      </w:r>
    </w:p>
    <w:p>
      <w:pPr>
        <w:pStyle w:val="ListParagraph"/>
        <w:numPr>
          <w:ilvl w:val="0"/>
          <w:numId w:val="14"/>
        </w:numPr>
        <w:spacing w:lineRule="auto" w:line="240" w:before="0" w:after="0"/>
        <w:contextualSpacing/>
        <w:jc w:val="both"/>
        <w:rPr>
          <w:rFonts w:ascii="Arial" w:hAnsi="Arial" w:cs="Arial"/>
        </w:rPr>
      </w:pPr>
      <w:r>
        <w:rPr>
          <w:rFonts w:cs="Arial" w:ascii="Arial" w:hAnsi="Arial"/>
        </w:rPr>
        <w:t xml:space="preserve">Pojazd musi posiadać zamontowane w bagażniku gniazdo zapalniczki o prądzie obciążenia min. 10 A zasilane bez względu na położenie włącznika zapłonu. </w:t>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r>
    </w:p>
    <w:p>
      <w:pPr>
        <w:pStyle w:val="ListParagraph"/>
        <w:tabs>
          <w:tab w:val="clear" w:pos="708"/>
          <w:tab w:val="left" w:pos="284" w:leader="none"/>
        </w:tabs>
        <w:spacing w:lineRule="auto" w:line="240" w:before="0" w:after="0"/>
        <w:contextualSpacing/>
        <w:jc w:val="both"/>
        <w:rPr>
          <w:rFonts w:ascii="Arial" w:hAnsi="Arial" w:cs="Arial"/>
        </w:rPr>
      </w:pPr>
      <w:r>
        <w:rPr>
          <w:rFonts w:cs="Arial" w:ascii="Arial" w:hAnsi="Arial"/>
          <w:b/>
        </w:rPr>
        <w:t>PRZEZNACZENIE VIDEOREJESTRATORA (VR)</w:t>
      </w:r>
      <w:r>
        <w:rPr>
          <w:rFonts w:cs="Arial" w:ascii="Arial" w:hAnsi="Arial"/>
        </w:rPr>
        <w:t xml:space="preserve"> </w:t>
      </w:r>
    </w:p>
    <w:p>
      <w:pPr>
        <w:pStyle w:val="Normal"/>
        <w:spacing w:lineRule="auto" w:line="240" w:before="0" w:after="0"/>
        <w:jc w:val="both"/>
        <w:rPr>
          <w:rFonts w:ascii="Arial" w:hAnsi="Arial" w:cs="Arial"/>
        </w:rPr>
      </w:pPr>
      <w:r>
        <w:rPr>
          <w:rFonts w:cs="Arial" w:ascii="Arial" w:hAnsi="Arial"/>
          <w:b/>
        </w:rPr>
        <w:t xml:space="preserve">Videorejestrator (skrót </w:t>
      </w:r>
      <w:r>
        <w:rPr>
          <w:rFonts w:cs="Arial" w:ascii="Arial" w:hAnsi="Arial"/>
        </w:rPr>
        <w:t xml:space="preserve">- </w:t>
      </w:r>
      <w:r>
        <w:rPr>
          <w:rFonts w:cs="Arial" w:ascii="Arial" w:hAnsi="Arial"/>
          <w:b/>
        </w:rPr>
        <w:t xml:space="preserve">VR) </w:t>
      </w:r>
      <w:r>
        <w:rPr>
          <w:rFonts w:cs="Arial" w:ascii="Arial" w:hAnsi="Arial"/>
        </w:rPr>
        <w:t xml:space="preserve">- urządzenie zamontowane w pojeździe umożliwiające: </w:t>
      </w:r>
    </w:p>
    <w:p>
      <w:pPr>
        <w:pStyle w:val="Normal"/>
        <w:numPr>
          <w:ilvl w:val="2"/>
          <w:numId w:val="5"/>
        </w:numPr>
        <w:tabs>
          <w:tab w:val="clear" w:pos="708"/>
          <w:tab w:val="left" w:pos="426" w:leader="none"/>
        </w:tabs>
        <w:spacing w:lineRule="auto" w:line="240" w:before="0" w:after="0"/>
        <w:ind w:hanging="425" w:start="425"/>
        <w:jc w:val="both"/>
        <w:rPr>
          <w:rFonts w:ascii="Arial" w:hAnsi="Arial" w:cs="Arial"/>
        </w:rPr>
      </w:pPr>
      <w:r>
        <w:rPr>
          <w:rFonts w:cs="Arial" w:ascii="Arial" w:hAnsi="Arial"/>
        </w:rPr>
        <w:t xml:space="preserve">ciągłą rejestrację zdarzeń w ruchu drogowym przed lub za pojazdem kontrolującym, za pomocą dwóch kamer; </w:t>
      </w:r>
    </w:p>
    <w:p>
      <w:pPr>
        <w:pStyle w:val="Normal"/>
        <w:numPr>
          <w:ilvl w:val="2"/>
          <w:numId w:val="5"/>
        </w:numPr>
        <w:tabs>
          <w:tab w:val="clear" w:pos="708"/>
          <w:tab w:val="left" w:pos="426" w:leader="none"/>
        </w:tabs>
        <w:spacing w:lineRule="auto" w:line="240" w:before="0" w:after="0"/>
        <w:ind w:hanging="425" w:start="425"/>
        <w:jc w:val="both"/>
        <w:rPr>
          <w:rFonts w:ascii="Arial" w:hAnsi="Arial" w:cs="Arial"/>
        </w:rPr>
      </w:pPr>
      <w:r>
        <w:rPr>
          <w:rFonts w:cs="Arial" w:ascii="Arial" w:hAnsi="Arial"/>
        </w:rPr>
        <w:t xml:space="preserve">pośredni pomiar prędkości pojazdu kontrolowanego, za pomocą prędkościomierza kontrolnego, dokonywany w czasie ruchu pojazdu kontrolującego (dynamiczny pomiar prędkości). </w:t>
      </w:r>
    </w:p>
    <w:p>
      <w:pPr>
        <w:pStyle w:val="Normal"/>
        <w:tabs>
          <w:tab w:val="clear" w:pos="708"/>
          <w:tab w:val="left" w:pos="426" w:leader="none"/>
        </w:tabs>
        <w:spacing w:lineRule="auto" w:line="240" w:before="0" w:after="0"/>
        <w:ind w:start="425"/>
        <w:jc w:val="both"/>
        <w:rPr>
          <w:rFonts w:ascii="Arial" w:hAnsi="Arial" w:cs="Arial"/>
        </w:rPr>
      </w:pPr>
      <w:r>
        <w:rPr>
          <w:rFonts w:cs="Arial" w:ascii="Arial" w:hAnsi="Arial"/>
        </w:rPr>
      </w:r>
    </w:p>
    <w:p>
      <w:pPr>
        <w:pStyle w:val="Normal"/>
        <w:spacing w:lineRule="auto" w:line="240" w:before="0" w:after="0"/>
        <w:jc w:val="both"/>
        <w:rPr>
          <w:rFonts w:ascii="Arial" w:hAnsi="Arial" w:cs="Arial"/>
        </w:rPr>
      </w:pPr>
      <w:r>
        <w:rPr>
          <w:rFonts w:cs="Arial" w:ascii="Arial" w:hAnsi="Arial"/>
        </w:rPr>
        <w:t xml:space="preserve">   </w:t>
      </w:r>
      <w:r>
        <w:rPr>
          <w:rFonts w:cs="Arial" w:ascii="Arial" w:hAnsi="Arial"/>
          <w:b/>
        </w:rPr>
        <w:t>MINIMALNE WYMAGANIA TECHNICZNO – UŻYTKOWE VIDEOREJESTRATORA (VR).</w:t>
      </w:r>
    </w:p>
    <w:p>
      <w:pPr>
        <w:pStyle w:val="ListParagraph"/>
        <w:numPr>
          <w:ilvl w:val="1"/>
          <w:numId w:val="8"/>
        </w:numPr>
        <w:spacing w:lineRule="auto" w:line="240" w:before="0" w:after="0"/>
        <w:contextualSpacing/>
        <w:jc w:val="both"/>
        <w:rPr>
          <w:rFonts w:ascii="Arial" w:hAnsi="Arial" w:cs="Arial"/>
        </w:rPr>
      </w:pPr>
      <w:r>
        <w:rPr>
          <w:rFonts w:cs="Arial" w:ascii="Arial" w:hAnsi="Arial"/>
        </w:rPr>
        <w:t>VR musi być kompletny, nie wymagający od Zamawiającego prac i nakładów dostosowawczych, kompatybilny wewnętrznie (poszczególne elementy muszą poprawnie współpracować w ramach urządzenia).</w:t>
      </w:r>
    </w:p>
    <w:p>
      <w:pPr>
        <w:pStyle w:val="ListParagraph"/>
        <w:numPr>
          <w:ilvl w:val="1"/>
          <w:numId w:val="8"/>
        </w:numPr>
        <w:spacing w:lineRule="auto" w:line="240" w:before="0" w:after="0"/>
        <w:ind w:hanging="426" w:start="426"/>
        <w:contextualSpacing/>
        <w:jc w:val="both"/>
        <w:rPr>
          <w:rFonts w:ascii="Arial" w:hAnsi="Arial" w:cs="Arial"/>
        </w:rPr>
      </w:pPr>
      <w:r>
        <w:rPr>
          <w:rFonts w:cs="Arial" w:ascii="Arial" w:hAnsi="Arial"/>
        </w:rPr>
        <w:t>VR musi charakteryzować się łatwym demontażem. Zamawiający musi mieć możliwość samodzielnego przeniesienia VR do innego pojazdu bez utraty gwarancji na urządzenie. Koszty ewentualnej ponownej legalizacji urządzeń oraz przemontowania urządzeń ponosi Zamawiający.</w:t>
      </w:r>
    </w:p>
    <w:p>
      <w:pPr>
        <w:pStyle w:val="ListParagraph"/>
        <w:numPr>
          <w:ilvl w:val="1"/>
          <w:numId w:val="8"/>
        </w:numPr>
        <w:spacing w:lineRule="auto" w:line="240" w:before="0" w:after="0"/>
        <w:ind w:hanging="426" w:start="426"/>
        <w:contextualSpacing/>
        <w:jc w:val="both"/>
        <w:rPr>
          <w:rFonts w:ascii="Arial" w:hAnsi="Arial" w:cs="Arial"/>
        </w:rPr>
      </w:pPr>
      <w:r>
        <w:rPr>
          <w:rFonts w:cs="Arial" w:ascii="Arial" w:hAnsi="Arial"/>
        </w:rPr>
        <w:t xml:space="preserve">Wszystkie elementy VR muszą posiadać oznakowanie CE lub inne, obowiązujące </w:t>
        <w:br/>
        <w:t>w unormowaniach dotyczących dopuszczenia do użytkowania w pojazdach na terenie Unii Europejskiej.</w:t>
      </w:r>
    </w:p>
    <w:p>
      <w:pPr>
        <w:pStyle w:val="ListParagraph"/>
        <w:numPr>
          <w:ilvl w:val="1"/>
          <w:numId w:val="8"/>
        </w:numPr>
        <w:spacing w:lineRule="auto" w:line="240" w:before="0" w:after="0"/>
        <w:ind w:hanging="426" w:start="426"/>
        <w:contextualSpacing/>
        <w:jc w:val="both"/>
        <w:rPr>
          <w:rFonts w:ascii="Arial" w:hAnsi="Arial" w:cs="Arial"/>
        </w:rPr>
      </w:pPr>
      <w:r>
        <w:rPr>
          <w:rFonts w:cs="Arial" w:ascii="Arial" w:hAnsi="Arial"/>
        </w:rPr>
        <w:t>W skład VR wchodzi:</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jednostka centralna (może spełniać również funkcję rejestratora);</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rejestrator - rejestrujący obraz i dźwięk na wymiennym dysku SSD;</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kamera przednia;</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kamera tylna;</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pulpit sterowniczy/pilot;</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monitor;</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dwa wymienne dyski SSD do rejestracji przebiegu służby, o tych samych parametrach;</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przenośne zewnętrzne urządzenie do wizualizacji i archiwizacji materiału zapisanego na dysku SSD rejestratora musi umożliwiać zgranie wybranych fragmentów zarejestrowanych obrazów na nośnik DVD oraz zapewniać przygotowanie materiału dowodowego w sposób umożliwiający zapoznanie się z zarejestrowanym obrazem wykorzystywanym w czynnościach procesowych (sąd, prokuratura);</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dodatkowa kieszeń do wymiennego dysku SSD lub inne rozwiązanie umożliwiające podłączenie do zewnętrznego komputera PC;</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 xml:space="preserve">pendrive (przenośna pamięć) o pojemności min. 16 GB, z interfejsem USB </w:t>
        <w:br/>
        <w:t>min. 2.0;</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komplet okablowania do prawidłowego funkcjonowania videorejestratora;</w:t>
      </w:r>
    </w:p>
    <w:p>
      <w:pPr>
        <w:pStyle w:val="ListParagraph"/>
        <w:numPr>
          <w:ilvl w:val="0"/>
          <w:numId w:val="9"/>
        </w:numPr>
        <w:spacing w:lineRule="auto" w:line="240" w:before="0" w:after="0"/>
        <w:ind w:hanging="283" w:start="709"/>
        <w:contextualSpacing/>
        <w:jc w:val="both"/>
        <w:rPr>
          <w:rFonts w:ascii="Arial" w:hAnsi="Arial" w:cs="Arial"/>
        </w:rPr>
      </w:pPr>
      <w:r>
        <w:rPr>
          <w:rFonts w:cs="Arial" w:ascii="Arial" w:hAnsi="Arial"/>
        </w:rPr>
        <w:t>mikrofon przewodowy zamontowany wewnątrz pojazdu.</w:t>
      </w:r>
    </w:p>
    <w:p>
      <w:pPr>
        <w:pStyle w:val="ListParagraph"/>
        <w:numPr>
          <w:ilvl w:val="1"/>
          <w:numId w:val="8"/>
        </w:numPr>
        <w:spacing w:lineRule="auto" w:line="240" w:before="0" w:after="0"/>
        <w:ind w:hanging="426" w:start="426"/>
        <w:contextualSpacing/>
        <w:jc w:val="both"/>
        <w:rPr>
          <w:rFonts w:ascii="Arial" w:hAnsi="Arial" w:cs="Arial"/>
        </w:rPr>
      </w:pPr>
      <w:r>
        <w:rPr>
          <w:rFonts w:cs="Arial" w:ascii="Arial" w:hAnsi="Arial"/>
        </w:rPr>
        <w:t>VR musi umożliwiać zainstalowanie w różnych markach samochodów osobowych i musi być zasilany z instalacji elektrycznej pojazdu 12V/24V prądu stałego (zgodnie z napięciem instalacji pojazdu, w którym będzie zamontowany VR), minus na masie. W instalacji dostarczającej zasilanie do VR ma być wmontowany wyłącznik, umożliwiający odcięcie zasilania.</w:t>
      </w:r>
    </w:p>
    <w:p>
      <w:pPr>
        <w:pStyle w:val="ListParagraph"/>
        <w:numPr>
          <w:ilvl w:val="1"/>
          <w:numId w:val="8"/>
        </w:numPr>
        <w:spacing w:lineRule="auto" w:line="240" w:before="0" w:after="0"/>
        <w:ind w:hanging="426" w:start="426"/>
        <w:contextualSpacing/>
        <w:jc w:val="both"/>
        <w:rPr>
          <w:rFonts w:ascii="Arial" w:hAnsi="Arial" w:cs="Arial"/>
        </w:rPr>
      </w:pPr>
      <w:r>
        <w:rPr>
          <w:rFonts w:cs="Arial" w:ascii="Arial" w:hAnsi="Arial"/>
        </w:rPr>
        <w:t>VR musi mieć możliwość zasilania, niezależnie od zapłonu silnika samochodowego.</w:t>
      </w:r>
    </w:p>
    <w:p>
      <w:pPr>
        <w:pStyle w:val="ListParagraph"/>
        <w:numPr>
          <w:ilvl w:val="1"/>
          <w:numId w:val="8"/>
        </w:numPr>
        <w:spacing w:lineRule="auto" w:line="240" w:before="0" w:after="0"/>
        <w:ind w:hanging="426" w:start="426"/>
        <w:contextualSpacing/>
        <w:jc w:val="both"/>
        <w:rPr>
          <w:rFonts w:ascii="Arial" w:hAnsi="Arial" w:cs="Arial"/>
        </w:rPr>
      </w:pPr>
      <w:r>
        <w:rPr>
          <w:rFonts w:cs="Arial" w:ascii="Arial" w:hAnsi="Arial"/>
        </w:rPr>
        <w:t>VR musi posiadać dokładność pomiaru w zakresie do 100 km/h +/- 3 km/h, ponad 100 km/h +/- 3% wartości mierzonej prędkości.</w:t>
      </w:r>
    </w:p>
    <w:p>
      <w:pPr>
        <w:pStyle w:val="ListParagraph"/>
        <w:numPr>
          <w:ilvl w:val="1"/>
          <w:numId w:val="8"/>
        </w:numPr>
        <w:spacing w:lineRule="auto" w:line="240" w:before="0" w:after="0"/>
        <w:ind w:hanging="426" w:start="426"/>
        <w:contextualSpacing/>
        <w:jc w:val="both"/>
        <w:rPr>
          <w:rFonts w:ascii="Arial" w:hAnsi="Arial" w:cs="Arial"/>
        </w:rPr>
      </w:pPr>
      <w:r>
        <w:rPr>
          <w:rFonts w:cs="Arial" w:ascii="Arial" w:hAnsi="Arial"/>
        </w:rPr>
        <w:t>Pomiar prędkości będzie wykonywany, od co najmniej 10 km/h do co najmniej 220 km/h za pomocą prędkościomierza kontrolnego.</w:t>
      </w:r>
    </w:p>
    <w:p>
      <w:pPr>
        <w:pStyle w:val="ListParagraph"/>
        <w:numPr>
          <w:ilvl w:val="1"/>
          <w:numId w:val="8"/>
        </w:numPr>
        <w:tabs>
          <w:tab w:val="clear" w:pos="708"/>
          <w:tab w:val="left" w:pos="567" w:leader="none"/>
        </w:tabs>
        <w:spacing w:lineRule="auto" w:line="240" w:before="0" w:after="0"/>
        <w:ind w:hanging="426" w:start="426"/>
        <w:contextualSpacing/>
        <w:jc w:val="both"/>
        <w:rPr>
          <w:rFonts w:ascii="Arial" w:hAnsi="Arial" w:cs="Arial"/>
        </w:rPr>
      </w:pPr>
      <w:r>
        <w:rPr>
          <w:rFonts w:cs="Arial" w:ascii="Arial" w:hAnsi="Arial"/>
        </w:rPr>
        <w:t>VR musi posiadać możliwość rejestrowania dźwięku z wnętrza kabiny pojazdu.</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Obraz musi być rejestrowany w postaci cyfrowej, w formie ciągłej nie mniej niż 25 kl/s bez względu na formę rejestracji - przeglądanie zapisów ma umożliwiać wyszukiwanie rejestrów według daty i czasu nagrania.</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VR musi mieć możliwość bezpośredniego przeniesienia zarejestrowanego materiału na przenośną pamięć zewnętrzną USB (pendrive) bez użycia dodatkowych urządzeń.</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VR musi mieć możliwość zadokowania jednego z wymiennych dysków SSD, na którym rejestrowane będą zdarzenia w ruchu drogowym. Montaż dysku musi uniemożliwiać samoczynne rozłączenie, dysk ma być zabezpieczony przed skutkami gwałtownych ruchów urządzenia.</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Pomiar z prędkościomierza kontrolnego i jego zakończenie musi być sygnalizowane. Rozpoczęcie pomiaru następuje w chwili naciśnięcia przycisku rozpoczynającego pomiar.</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VR musi posiadać możliwość odtwarzania z jednoczesną możliwością nagrywania.</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VR musi posiadać możliwość utrwalenia w treści obrazu następujących danych:</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data i czas;</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licznik drogi;</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licznik klatek;</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współczynnik zoom;</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prędkość własna;</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czas rozpoczęcia pomiaru;</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czas trwania pomiaru;</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dystans pomiaru;</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wynik pomiaru - prędkość rejestrowanego pojazdu;</w:t>
      </w:r>
    </w:p>
    <w:p>
      <w:pPr>
        <w:pStyle w:val="ListParagraph"/>
        <w:numPr>
          <w:ilvl w:val="2"/>
          <w:numId w:val="6"/>
        </w:numPr>
        <w:spacing w:lineRule="auto" w:line="240" w:before="0" w:after="0"/>
        <w:ind w:hanging="284" w:start="851"/>
        <w:contextualSpacing/>
        <w:jc w:val="both"/>
        <w:rPr>
          <w:rFonts w:ascii="Arial" w:hAnsi="Arial" w:cs="Arial"/>
        </w:rPr>
      </w:pPr>
      <w:r>
        <w:rPr>
          <w:rFonts w:cs="Arial" w:ascii="Arial" w:hAnsi="Arial"/>
        </w:rPr>
        <w:t xml:space="preserve">nazwa i numer urządzenia; </w:t>
      </w:r>
    </w:p>
    <w:p>
      <w:pPr>
        <w:pStyle w:val="ListParagraph"/>
        <w:numPr>
          <w:ilvl w:val="1"/>
          <w:numId w:val="8"/>
        </w:numPr>
        <w:spacing w:lineRule="auto" w:line="240" w:before="0" w:after="0"/>
        <w:contextualSpacing/>
        <w:jc w:val="both"/>
        <w:rPr>
          <w:rFonts w:ascii="Arial" w:hAnsi="Arial" w:cs="Arial"/>
        </w:rPr>
      </w:pPr>
      <w:r>
        <w:rPr>
          <w:rFonts w:cs="Arial" w:ascii="Arial" w:hAnsi="Arial"/>
        </w:rPr>
        <w:t>VR musi posiadać możliwość ręcznej, łatwej i płynnej regulacji położenia kamery, z możliwością zablokowania ustawionej pozycji kamery.</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Obraz widziany przez kamerę (przednią i tylną) musi być widoczny na ekranie monitora zamontowanego wewnątrz pojazdu, bez opóźnień w czasie rzeczywistym bez względu na stopień kompresji.</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 xml:space="preserve">Zastosowane kamery (przednia i tylna) muszą posiadać następujące parametry: </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możliwość rejestracji w trybie Dzień/Noc;</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generować barwny sygnał w systemie min. PAL;</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automatyczne i ręczne ustawianie ostrości;</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zoom optyczny nie mniejszy niż 22x;</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korekcja balansu bieli;</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stabilizacja obrazu;</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gabaryty kamery nie mogą być większe niż 80 x 80 x 140 mm;</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zasilanie z urządzenia wchodzącego w skład videorejestratora;</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kompensacja oświetlenia;</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regulowana prędkość zoom;</w:t>
      </w:r>
    </w:p>
    <w:p>
      <w:pPr>
        <w:pStyle w:val="ListParagraph"/>
        <w:numPr>
          <w:ilvl w:val="2"/>
          <w:numId w:val="7"/>
        </w:numPr>
        <w:spacing w:lineRule="auto" w:line="240" w:before="0" w:after="0"/>
        <w:ind w:hanging="142" w:start="851"/>
        <w:contextualSpacing/>
        <w:jc w:val="both"/>
        <w:rPr>
          <w:rFonts w:ascii="Arial" w:hAnsi="Arial" w:cs="Arial"/>
        </w:rPr>
      </w:pPr>
      <w:r>
        <w:rPr>
          <w:rFonts w:cs="Arial" w:ascii="Arial" w:hAnsi="Arial"/>
        </w:rPr>
        <w:t xml:space="preserve">możliwość pracy w trybie z wyłączonym manualnie filtrem podczerwieni (dopuszcza się systemy automatycznej filtracji). </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Obsługa VR za pomocą mobilnego pulpitu sterowniczego/pilota mocowanego wewnątrz pojazdu z oznakowaniem w języku polskim lub w postaci łatwo rozpoznawalnych znaków (piktogramów). Przez mobilność rozumie się możliwość przenoszenia pulpitu sterowniczego / pilota wewnątrz pojazdu. Przyciski muszą być podświetlane i umożliwiające odczytanie oznaczeń przycisków.</w:t>
      </w:r>
    </w:p>
    <w:p>
      <w:pPr>
        <w:pStyle w:val="ListParagraph"/>
        <w:numPr>
          <w:ilvl w:val="1"/>
          <w:numId w:val="8"/>
        </w:numPr>
        <w:spacing w:lineRule="auto" w:line="240" w:before="0" w:after="0"/>
        <w:ind w:hanging="567" w:start="567"/>
        <w:contextualSpacing/>
        <w:jc w:val="both"/>
        <w:rPr>
          <w:rFonts w:ascii="Arial" w:hAnsi="Arial" w:cs="Arial"/>
        </w:rPr>
      </w:pPr>
      <w:r>
        <w:rPr>
          <w:rFonts w:cs="Arial" w:ascii="Arial" w:hAnsi="Arial"/>
        </w:rPr>
        <w:t xml:space="preserve">Pulpit musi posiadać funkcje: </w:t>
      </w:r>
    </w:p>
    <w:p>
      <w:pPr>
        <w:pStyle w:val="ListParagraph"/>
        <w:numPr>
          <w:ilvl w:val="0"/>
          <w:numId w:val="10"/>
        </w:numPr>
        <w:tabs>
          <w:tab w:val="clear" w:pos="708"/>
          <w:tab w:val="left" w:pos="851" w:leader="none"/>
        </w:tabs>
        <w:spacing w:lineRule="auto" w:line="240" w:before="0" w:after="0"/>
        <w:ind w:hanging="153" w:start="720"/>
        <w:contextualSpacing/>
        <w:jc w:val="both"/>
        <w:rPr>
          <w:rFonts w:ascii="Arial" w:hAnsi="Arial" w:cs="Arial"/>
        </w:rPr>
      </w:pPr>
      <w:r>
        <w:rPr>
          <w:rFonts w:cs="Arial" w:ascii="Arial" w:hAnsi="Arial"/>
        </w:rPr>
        <w:t>włącz/wyłącz VR;</w:t>
      </w:r>
    </w:p>
    <w:p>
      <w:pPr>
        <w:pStyle w:val="ListParagraph"/>
        <w:numPr>
          <w:ilvl w:val="0"/>
          <w:numId w:val="10"/>
        </w:numPr>
        <w:tabs>
          <w:tab w:val="clear" w:pos="708"/>
          <w:tab w:val="left" w:pos="851" w:leader="none"/>
        </w:tabs>
        <w:spacing w:lineRule="auto" w:line="240" w:before="0" w:after="0"/>
        <w:ind w:hanging="153" w:start="720"/>
        <w:contextualSpacing/>
        <w:jc w:val="both"/>
        <w:rPr>
          <w:rFonts w:ascii="Arial" w:hAnsi="Arial" w:cs="Arial"/>
        </w:rPr>
      </w:pPr>
      <w:r>
        <w:rPr>
          <w:rFonts w:cs="Arial" w:ascii="Arial" w:hAnsi="Arial"/>
        </w:rPr>
        <w:t>rozpoczęcie pomiaru na zdefiniowanym odcinku drogi;</w:t>
      </w:r>
    </w:p>
    <w:p>
      <w:pPr>
        <w:pStyle w:val="ListParagraph"/>
        <w:numPr>
          <w:ilvl w:val="0"/>
          <w:numId w:val="10"/>
        </w:numPr>
        <w:tabs>
          <w:tab w:val="clear" w:pos="708"/>
          <w:tab w:val="left" w:pos="851" w:leader="none"/>
        </w:tabs>
        <w:spacing w:lineRule="auto" w:line="240" w:before="0" w:after="0"/>
        <w:ind w:hanging="153" w:start="720"/>
        <w:contextualSpacing/>
        <w:jc w:val="both"/>
        <w:rPr>
          <w:rFonts w:ascii="Arial" w:hAnsi="Arial" w:cs="Arial"/>
        </w:rPr>
      </w:pPr>
      <w:r>
        <w:rPr>
          <w:rFonts w:cs="Arial" w:ascii="Arial" w:hAnsi="Arial"/>
        </w:rPr>
        <w:t>wybór rejestracji kamery przód/tył;</w:t>
      </w:r>
    </w:p>
    <w:p>
      <w:pPr>
        <w:pStyle w:val="ListParagraph"/>
        <w:numPr>
          <w:ilvl w:val="0"/>
          <w:numId w:val="10"/>
        </w:numPr>
        <w:tabs>
          <w:tab w:val="clear" w:pos="708"/>
          <w:tab w:val="left" w:pos="851" w:leader="none"/>
        </w:tabs>
        <w:spacing w:lineRule="auto" w:line="240" w:before="0" w:after="0"/>
        <w:ind w:hanging="153" w:start="720"/>
        <w:contextualSpacing/>
        <w:jc w:val="both"/>
        <w:rPr>
          <w:rFonts w:ascii="Arial" w:hAnsi="Arial" w:cs="Arial"/>
        </w:rPr>
      </w:pPr>
      <w:r>
        <w:rPr>
          <w:rFonts w:cs="Arial" w:ascii="Arial" w:hAnsi="Arial"/>
        </w:rPr>
        <w:t>zapis;</w:t>
      </w:r>
    </w:p>
    <w:p>
      <w:pPr>
        <w:pStyle w:val="ListParagraph"/>
        <w:numPr>
          <w:ilvl w:val="0"/>
          <w:numId w:val="10"/>
        </w:numPr>
        <w:tabs>
          <w:tab w:val="clear" w:pos="708"/>
          <w:tab w:val="left" w:pos="851" w:leader="none"/>
        </w:tabs>
        <w:spacing w:lineRule="auto" w:line="240" w:before="0" w:after="0"/>
        <w:ind w:hanging="153" w:start="720"/>
        <w:contextualSpacing/>
        <w:jc w:val="both"/>
        <w:rPr>
          <w:rFonts w:ascii="Arial" w:hAnsi="Arial" w:cs="Arial"/>
        </w:rPr>
      </w:pPr>
      <w:r>
        <w:rPr>
          <w:rFonts w:cs="Arial" w:ascii="Arial" w:hAnsi="Arial"/>
        </w:rPr>
        <w:t>stop;</w:t>
      </w:r>
    </w:p>
    <w:p>
      <w:pPr>
        <w:pStyle w:val="ListParagraph"/>
        <w:numPr>
          <w:ilvl w:val="0"/>
          <w:numId w:val="10"/>
        </w:numPr>
        <w:tabs>
          <w:tab w:val="clear" w:pos="708"/>
          <w:tab w:val="left" w:pos="851" w:leader="none"/>
        </w:tabs>
        <w:spacing w:lineRule="auto" w:line="240" w:before="0" w:after="0"/>
        <w:ind w:hanging="284" w:start="851"/>
        <w:contextualSpacing/>
        <w:jc w:val="both"/>
        <w:rPr>
          <w:rFonts w:ascii="Arial" w:hAnsi="Arial" w:cs="Arial"/>
        </w:rPr>
      </w:pPr>
      <w:r>
        <w:rPr>
          <w:rFonts w:cs="Arial" w:ascii="Arial" w:hAnsi="Arial"/>
        </w:rPr>
        <w:t>odtwarzanie (w obydwu kierunkach);</w:t>
      </w:r>
    </w:p>
    <w:p>
      <w:pPr>
        <w:pStyle w:val="ListParagraph"/>
        <w:numPr>
          <w:ilvl w:val="0"/>
          <w:numId w:val="10"/>
        </w:numPr>
        <w:tabs>
          <w:tab w:val="clear" w:pos="708"/>
          <w:tab w:val="left" w:pos="851" w:leader="none"/>
        </w:tabs>
        <w:spacing w:lineRule="auto" w:line="240" w:before="0" w:after="0"/>
        <w:ind w:hanging="284" w:start="851"/>
        <w:contextualSpacing/>
        <w:jc w:val="both"/>
        <w:rPr>
          <w:rFonts w:ascii="Arial" w:hAnsi="Arial" w:cs="Arial"/>
        </w:rPr>
      </w:pPr>
      <w:r>
        <w:rPr>
          <w:rFonts w:cs="Arial" w:ascii="Arial" w:hAnsi="Arial"/>
        </w:rPr>
        <w:t>odtwarzanie zwolnione (w obydwu kierunkach);</w:t>
      </w:r>
    </w:p>
    <w:p>
      <w:pPr>
        <w:pStyle w:val="ListParagraph"/>
        <w:numPr>
          <w:ilvl w:val="0"/>
          <w:numId w:val="10"/>
        </w:numPr>
        <w:tabs>
          <w:tab w:val="clear" w:pos="708"/>
          <w:tab w:val="left" w:pos="851" w:leader="none"/>
        </w:tabs>
        <w:spacing w:lineRule="auto" w:line="240" w:before="0" w:after="0"/>
        <w:ind w:hanging="284" w:start="851"/>
        <w:contextualSpacing/>
        <w:jc w:val="both"/>
        <w:rPr>
          <w:rFonts w:ascii="Arial" w:hAnsi="Arial" w:cs="Arial"/>
        </w:rPr>
      </w:pPr>
      <w:r>
        <w:rPr>
          <w:rFonts w:cs="Arial" w:ascii="Arial" w:hAnsi="Arial"/>
        </w:rPr>
        <w:t>odtwarzanie poklatkowe (w obydwu kierunkach);</w:t>
      </w:r>
    </w:p>
    <w:p>
      <w:pPr>
        <w:pStyle w:val="ListParagraph"/>
        <w:numPr>
          <w:ilvl w:val="0"/>
          <w:numId w:val="10"/>
        </w:numPr>
        <w:tabs>
          <w:tab w:val="clear" w:pos="708"/>
          <w:tab w:val="left" w:pos="851" w:leader="none"/>
        </w:tabs>
        <w:spacing w:lineRule="auto" w:line="240" w:before="0" w:after="0"/>
        <w:ind w:hanging="284" w:start="851"/>
        <w:contextualSpacing/>
        <w:jc w:val="both"/>
        <w:rPr>
          <w:rFonts w:ascii="Arial" w:hAnsi="Arial" w:cs="Arial"/>
        </w:rPr>
      </w:pPr>
      <w:r>
        <w:rPr>
          <w:rFonts w:cs="Arial" w:ascii="Arial" w:hAnsi="Arial"/>
        </w:rPr>
        <w:t>pauza;</w:t>
      </w:r>
    </w:p>
    <w:p>
      <w:pPr>
        <w:pStyle w:val="ListParagraph"/>
        <w:numPr>
          <w:ilvl w:val="0"/>
          <w:numId w:val="10"/>
        </w:numPr>
        <w:tabs>
          <w:tab w:val="clear" w:pos="708"/>
          <w:tab w:val="left" w:pos="851" w:leader="none"/>
        </w:tabs>
        <w:spacing w:lineRule="auto" w:line="240" w:before="0" w:after="0"/>
        <w:ind w:hanging="284" w:start="851"/>
        <w:contextualSpacing/>
        <w:jc w:val="both"/>
        <w:rPr>
          <w:rFonts w:ascii="Arial" w:hAnsi="Arial" w:cs="Arial"/>
        </w:rPr>
      </w:pPr>
      <w:r>
        <w:rPr>
          <w:rFonts w:cs="Arial" w:ascii="Arial" w:hAnsi="Arial"/>
        </w:rPr>
        <w:t>przewijanie w tył i w przód;</w:t>
      </w:r>
    </w:p>
    <w:p>
      <w:pPr>
        <w:pStyle w:val="ListParagraph"/>
        <w:numPr>
          <w:ilvl w:val="0"/>
          <w:numId w:val="10"/>
        </w:numPr>
        <w:tabs>
          <w:tab w:val="clear" w:pos="708"/>
          <w:tab w:val="left" w:pos="851" w:leader="none"/>
        </w:tabs>
        <w:spacing w:lineRule="auto" w:line="240" w:before="0" w:after="0"/>
        <w:ind w:hanging="284" w:start="851"/>
        <w:contextualSpacing/>
        <w:jc w:val="both"/>
        <w:rPr>
          <w:rFonts w:ascii="Arial" w:hAnsi="Arial" w:cs="Arial"/>
        </w:rPr>
      </w:pPr>
      <w:r>
        <w:rPr>
          <w:rFonts w:cs="Arial" w:ascii="Arial" w:hAnsi="Arial"/>
        </w:rPr>
        <w:t>przewijanie z podglądem w tył i w przód (ze zróżnicowaniem prędkości);</w:t>
      </w:r>
    </w:p>
    <w:p>
      <w:pPr>
        <w:pStyle w:val="ListParagraph"/>
        <w:numPr>
          <w:ilvl w:val="0"/>
          <w:numId w:val="10"/>
        </w:numPr>
        <w:tabs>
          <w:tab w:val="clear" w:pos="708"/>
          <w:tab w:val="left" w:pos="851" w:leader="none"/>
        </w:tabs>
        <w:spacing w:lineRule="auto" w:line="240" w:before="0" w:after="0"/>
        <w:ind w:hanging="284" w:start="851"/>
        <w:contextualSpacing/>
        <w:jc w:val="both"/>
        <w:rPr>
          <w:rFonts w:ascii="Arial" w:hAnsi="Arial" w:cs="Arial"/>
        </w:rPr>
      </w:pPr>
      <w:r>
        <w:rPr>
          <w:rFonts w:cs="Arial" w:ascii="Arial" w:hAnsi="Arial"/>
        </w:rPr>
        <w:t>dokonywanie zbliżeń i oddaleń (zoom);</w:t>
      </w:r>
    </w:p>
    <w:p>
      <w:pPr>
        <w:pStyle w:val="ListParagraph"/>
        <w:numPr>
          <w:ilvl w:val="0"/>
          <w:numId w:val="10"/>
        </w:numPr>
        <w:tabs>
          <w:tab w:val="clear" w:pos="708"/>
          <w:tab w:val="left" w:pos="851" w:leader="none"/>
        </w:tabs>
        <w:spacing w:lineRule="auto" w:line="240" w:before="0" w:after="0"/>
        <w:ind w:hanging="284" w:start="851"/>
        <w:contextualSpacing/>
        <w:jc w:val="both"/>
        <w:rPr>
          <w:rFonts w:ascii="Arial" w:hAnsi="Arial" w:cs="Arial"/>
        </w:rPr>
      </w:pPr>
      <w:r>
        <w:rPr>
          <w:rFonts w:cs="Arial" w:ascii="Arial" w:hAnsi="Arial"/>
        </w:rPr>
        <w:t>automatyczne ustawienie ostrości.</w:t>
      </w:r>
    </w:p>
    <w:p>
      <w:pPr>
        <w:pStyle w:val="ListParagraph"/>
        <w:numPr>
          <w:ilvl w:val="1"/>
          <w:numId w:val="8"/>
        </w:numPr>
        <w:tabs>
          <w:tab w:val="clear" w:pos="708"/>
          <w:tab w:val="left" w:pos="851" w:leader="none"/>
        </w:tabs>
        <w:spacing w:lineRule="auto" w:line="240" w:before="0" w:after="0"/>
        <w:ind w:hanging="567" w:start="567"/>
        <w:contextualSpacing/>
        <w:jc w:val="both"/>
        <w:rPr>
          <w:rFonts w:ascii="Arial" w:hAnsi="Arial" w:cs="Arial"/>
        </w:rPr>
      </w:pPr>
      <w:r>
        <w:rPr>
          <w:rFonts w:cs="Arial" w:ascii="Arial" w:hAnsi="Arial"/>
        </w:rPr>
        <w:t>Monitor musi posiadać następujące parametry:</w:t>
      </w:r>
    </w:p>
    <w:p>
      <w:pPr>
        <w:pStyle w:val="ListParagraph"/>
        <w:numPr>
          <w:ilvl w:val="0"/>
          <w:numId w:val="11"/>
        </w:numPr>
        <w:tabs>
          <w:tab w:val="clear" w:pos="708"/>
          <w:tab w:val="left" w:pos="851" w:leader="none"/>
        </w:tabs>
        <w:spacing w:lineRule="auto" w:line="240" w:before="0" w:after="0"/>
        <w:contextualSpacing/>
        <w:jc w:val="both"/>
        <w:rPr>
          <w:rFonts w:ascii="Arial" w:hAnsi="Arial" w:cs="Arial"/>
        </w:rPr>
      </w:pPr>
      <w:r>
        <w:rPr>
          <w:rFonts w:cs="Arial" w:ascii="Arial" w:hAnsi="Arial"/>
        </w:rPr>
        <w:t>rozdzielczość nie mniejsza niż 800 x 480 pix;</w:t>
      </w:r>
    </w:p>
    <w:p>
      <w:pPr>
        <w:pStyle w:val="ListParagraph"/>
        <w:numPr>
          <w:ilvl w:val="0"/>
          <w:numId w:val="11"/>
        </w:numPr>
        <w:tabs>
          <w:tab w:val="clear" w:pos="708"/>
          <w:tab w:val="left" w:pos="851" w:leader="none"/>
        </w:tabs>
        <w:spacing w:lineRule="auto" w:line="240" w:before="0" w:after="0"/>
        <w:contextualSpacing/>
        <w:jc w:val="both"/>
        <w:rPr>
          <w:rFonts w:ascii="Arial" w:hAnsi="Arial" w:cs="Arial"/>
        </w:rPr>
      </w:pPr>
      <w:r>
        <w:rPr>
          <w:rFonts w:cs="Arial" w:ascii="Arial" w:hAnsi="Arial"/>
        </w:rPr>
        <w:t>przekątna ekranu nie mniejsza niż 7" i nie większa niż 9";</w:t>
      </w:r>
    </w:p>
    <w:p>
      <w:pPr>
        <w:pStyle w:val="ListParagraph"/>
        <w:numPr>
          <w:ilvl w:val="0"/>
          <w:numId w:val="11"/>
        </w:numPr>
        <w:tabs>
          <w:tab w:val="clear" w:pos="708"/>
          <w:tab w:val="left" w:pos="851" w:leader="none"/>
        </w:tabs>
        <w:spacing w:lineRule="auto" w:line="240" w:before="0" w:after="0"/>
        <w:contextualSpacing/>
        <w:jc w:val="both"/>
        <w:rPr>
          <w:rFonts w:ascii="Arial" w:hAnsi="Arial" w:cs="Arial"/>
        </w:rPr>
      </w:pPr>
      <w:r>
        <w:rPr>
          <w:rFonts w:cs="Arial" w:ascii="Arial" w:hAnsi="Arial"/>
        </w:rPr>
        <w:t>przynajmniej 32-bitowa głębia kolorów z regulacją kontrastu i jasności;</w:t>
      </w:r>
    </w:p>
    <w:p>
      <w:pPr>
        <w:pStyle w:val="ListParagraph"/>
        <w:numPr>
          <w:ilvl w:val="0"/>
          <w:numId w:val="11"/>
        </w:numPr>
        <w:tabs>
          <w:tab w:val="clear" w:pos="708"/>
          <w:tab w:val="left" w:pos="851" w:leader="none"/>
        </w:tabs>
        <w:spacing w:lineRule="auto" w:line="240" w:before="0" w:after="0"/>
        <w:contextualSpacing/>
        <w:jc w:val="both"/>
        <w:rPr>
          <w:rFonts w:ascii="Arial" w:hAnsi="Arial" w:cs="Arial"/>
        </w:rPr>
      </w:pPr>
      <w:r>
        <w:rPr>
          <w:rFonts w:cs="Arial" w:ascii="Arial" w:hAnsi="Arial"/>
        </w:rPr>
        <w:t>jasność matrycy nie mniejsza niż 350 cd/m2 ;</w:t>
      </w:r>
    </w:p>
    <w:p>
      <w:pPr>
        <w:pStyle w:val="ListParagraph"/>
        <w:numPr>
          <w:ilvl w:val="0"/>
          <w:numId w:val="11"/>
        </w:numPr>
        <w:tabs>
          <w:tab w:val="clear" w:pos="708"/>
          <w:tab w:val="left" w:pos="851" w:leader="none"/>
        </w:tabs>
        <w:spacing w:lineRule="auto" w:line="240" w:before="0" w:after="0"/>
        <w:contextualSpacing/>
        <w:jc w:val="both"/>
        <w:rPr>
          <w:rFonts w:ascii="Arial" w:hAnsi="Arial" w:cs="Arial"/>
        </w:rPr>
      </w:pPr>
      <w:r>
        <w:rPr>
          <w:rFonts w:cs="Arial" w:ascii="Arial" w:hAnsi="Arial"/>
        </w:rPr>
        <w:t>regulacja położenia w osi poziomej i pionowej (zmiana kąta nachylenia);</w:t>
      </w:r>
    </w:p>
    <w:p>
      <w:pPr>
        <w:pStyle w:val="ListParagraph"/>
        <w:numPr>
          <w:ilvl w:val="0"/>
          <w:numId w:val="11"/>
        </w:numPr>
        <w:tabs>
          <w:tab w:val="clear" w:pos="708"/>
          <w:tab w:val="left" w:pos="851" w:leader="none"/>
        </w:tabs>
        <w:spacing w:lineRule="auto" w:line="240" w:before="0" w:after="0"/>
        <w:contextualSpacing/>
        <w:jc w:val="both"/>
        <w:rPr>
          <w:rFonts w:ascii="Arial" w:hAnsi="Arial" w:cs="Arial"/>
        </w:rPr>
      </w:pPr>
      <w:r>
        <w:rPr>
          <w:rFonts w:cs="Arial" w:ascii="Arial" w:hAnsi="Arial"/>
        </w:rPr>
        <w:t xml:space="preserve">nie może posiadać nakładki dotykowej. </w:t>
      </w:r>
    </w:p>
    <w:p>
      <w:pPr>
        <w:pStyle w:val="Normal"/>
        <w:numPr>
          <w:ilvl w:val="1"/>
          <w:numId w:val="8"/>
        </w:numPr>
        <w:spacing w:lineRule="auto" w:line="240" w:before="0" w:after="0"/>
        <w:ind w:hanging="567" w:start="567"/>
        <w:jc w:val="both"/>
        <w:rPr>
          <w:rFonts w:ascii="Arial" w:hAnsi="Arial" w:cs="Arial"/>
        </w:rPr>
      </w:pPr>
      <w:r>
        <w:rPr>
          <w:rFonts w:cs="Arial" w:ascii="Arial" w:hAnsi="Arial"/>
        </w:rPr>
        <w:t xml:space="preserve">Obraz z przebiegu służby musi być rejestrowany na wymiennym dysku SSD o pojemności umożliwiającej 36 godz. ciągłego zapisu obrazu i dźwięku. </w:t>
      </w:r>
    </w:p>
    <w:p>
      <w:pPr>
        <w:pStyle w:val="Normal"/>
        <w:numPr>
          <w:ilvl w:val="1"/>
          <w:numId w:val="8"/>
        </w:numPr>
        <w:spacing w:lineRule="auto" w:line="240" w:before="0" w:after="0"/>
        <w:ind w:hanging="567" w:start="567"/>
        <w:jc w:val="both"/>
        <w:rPr>
          <w:rFonts w:ascii="Arial" w:hAnsi="Arial" w:cs="Arial"/>
        </w:rPr>
      </w:pPr>
      <w:r>
        <w:rPr>
          <w:rFonts w:cs="Arial" w:ascii="Arial" w:hAnsi="Arial"/>
        </w:rPr>
        <w:t>Rejestracja i archiwizacja następuje w formacie specyficznym dla urządzenia, informacje zapisane na wymiennym nośniku danych mogą być odczytane tylko za pomocą oprogramowania dostarczonego przez producenta urządzenia wraz z nieograniczoną czasowo licencją. Zarejestrowany materiał na dysku SSD nie może być skasowany przez osobę nieuprawnioną (zabezpieczenie kodowe).</w:t>
      </w:r>
    </w:p>
    <w:p>
      <w:pPr>
        <w:pStyle w:val="Normal"/>
        <w:numPr>
          <w:ilvl w:val="1"/>
          <w:numId w:val="8"/>
        </w:numPr>
        <w:spacing w:lineRule="auto" w:line="240" w:before="0" w:after="0"/>
        <w:ind w:hanging="567" w:start="567"/>
        <w:jc w:val="both"/>
        <w:rPr>
          <w:rFonts w:ascii="Arial" w:hAnsi="Arial" w:cs="Arial"/>
        </w:rPr>
      </w:pPr>
      <w:r>
        <w:rPr>
          <w:rFonts w:cs="Arial" w:ascii="Arial" w:hAnsi="Arial"/>
        </w:rPr>
        <w:t>Mikrofon musi być kompatybilny z pozostałymi elementami składowymi VR, a nagrywany dźwięk zsynchronizowany z obrazem.</w:t>
      </w:r>
    </w:p>
    <w:p>
      <w:pPr>
        <w:pStyle w:val="Normal"/>
        <w:numPr>
          <w:ilvl w:val="1"/>
          <w:numId w:val="8"/>
        </w:numPr>
        <w:spacing w:lineRule="auto" w:line="240" w:before="0" w:after="0"/>
        <w:ind w:hanging="567" w:start="567"/>
        <w:jc w:val="both"/>
        <w:rPr>
          <w:rFonts w:ascii="Arial" w:hAnsi="Arial" w:cs="Arial"/>
        </w:rPr>
      </w:pPr>
      <w:r>
        <w:rPr>
          <w:rFonts w:cs="Arial" w:ascii="Arial" w:hAnsi="Arial"/>
        </w:rPr>
        <w:t>VR musi być zgodny z regulaminem EKG ONZ nr 10 wraz z poprawkami według stanu prawnego na dzień składania ofert (dokument potwierdzający zgodność musi być złożony wraz z ofertą).</w:t>
      </w:r>
    </w:p>
    <w:p>
      <w:pPr>
        <w:pStyle w:val="Normal"/>
        <w:numPr>
          <w:ilvl w:val="1"/>
          <w:numId w:val="8"/>
        </w:numPr>
        <w:spacing w:lineRule="auto" w:line="240" w:before="0" w:after="0"/>
        <w:ind w:hanging="567" w:start="567"/>
        <w:jc w:val="both"/>
        <w:rPr>
          <w:rFonts w:ascii="Arial" w:hAnsi="Arial" w:cs="Arial"/>
        </w:rPr>
      </w:pPr>
      <w:r>
        <w:rPr>
          <w:rFonts w:cs="Arial" w:ascii="Arial" w:hAnsi="Arial"/>
        </w:rPr>
        <w:t>VR musi posiadać decyzję Prezesa Głównego Urzędu Miar zatwierdzającą typ przyrządów do pomiaru prędkości pojazdów w ruchu drogowym lub decyzję Prezesa Głównego Urzędu Miar uznającą odpowiednie dokumenty potwierdzające dokonanie prawnej kontroli metrologicznej VR przez właściwe zagraniczne instytucje metrologiczne (kserokopia poświadczona za zgodność z oryginałem decyzji Prezesa GUM musi być złożona wraz z ofertą ).</w:t>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ind w:start="567"/>
        <w:jc w:val="both"/>
        <w:rPr>
          <w:rFonts w:ascii="Arial" w:hAnsi="Arial" w:cs="Arial"/>
        </w:rPr>
      </w:pPr>
      <w:r>
        <w:rPr>
          <w:rFonts w:cs="Arial" w:ascii="Arial" w:hAnsi="Arial"/>
        </w:rPr>
      </w:r>
    </w:p>
    <w:p>
      <w:pPr>
        <w:pStyle w:val="Normal"/>
        <w:spacing w:lineRule="auto" w:line="240" w:before="0" w:after="0"/>
        <w:jc w:val="center"/>
        <w:rPr>
          <w:rFonts w:ascii="Arial" w:hAnsi="Arial" w:cs="Arial"/>
        </w:rPr>
      </w:pPr>
      <w:r>
        <w:rPr>
          <w:rFonts w:cs="Arial" w:ascii="Arial" w:hAnsi="Arial"/>
          <w:b/>
        </w:rPr>
        <w:t xml:space="preserve">WYMAGANIA DOTYCZĄCE SPOSOBU MONTAŻU VIDEOREJESTRATORA (VR) </w:t>
        <w:br/>
        <w:t>W POJEŹDZIE.</w:t>
      </w:r>
    </w:p>
    <w:p>
      <w:pPr>
        <w:pStyle w:val="ListParagraph"/>
        <w:numPr>
          <w:ilvl w:val="0"/>
          <w:numId w:val="15"/>
        </w:numPr>
        <w:tabs>
          <w:tab w:val="clear" w:pos="708"/>
          <w:tab w:val="left" w:pos="426" w:leader="none"/>
        </w:tabs>
        <w:spacing w:lineRule="auto" w:line="240" w:before="0" w:after="0"/>
        <w:contextualSpacing/>
        <w:jc w:val="both"/>
        <w:rPr>
          <w:rFonts w:ascii="Arial" w:hAnsi="Arial" w:cs="Arial"/>
        </w:rPr>
      </w:pPr>
      <w:r>
        <w:rPr>
          <w:rFonts w:cs="Arial" w:ascii="Arial" w:hAnsi="Arial"/>
        </w:rPr>
        <w:t xml:space="preserve">Sposób instalacji VR w pojeździe musi umożliwiać wykorzystanie wszystkich funkcji VR </w:t>
        <w:br/>
        <w:t>w trakcie poruszania się pojazdu, funkcjonariuszowi siedzącemu w miejscu pasażera oraz nie może ograniczać wykonywania czynności kierowcy (zmiana biegów, ruchy kierownicą, uruchamianie pojazdu). Jednocześnie sposób instalacji VR musi zapewnić możliwość swobodnego opuszczania i zajmowania miejsca dla kierowcy oraz dla pasażera obok kierowcy.</w:t>
      </w:r>
    </w:p>
    <w:p>
      <w:pPr>
        <w:pStyle w:val="ListParagraph"/>
        <w:numPr>
          <w:ilvl w:val="0"/>
          <w:numId w:val="15"/>
        </w:numPr>
        <w:tabs>
          <w:tab w:val="clear" w:pos="708"/>
          <w:tab w:val="left" w:pos="426" w:leader="none"/>
        </w:tabs>
        <w:spacing w:lineRule="auto" w:line="240" w:before="0" w:after="0"/>
        <w:contextualSpacing/>
        <w:jc w:val="both"/>
        <w:rPr>
          <w:rFonts w:ascii="Arial" w:hAnsi="Arial" w:cs="Arial"/>
        </w:rPr>
      </w:pPr>
      <w:r>
        <w:rPr>
          <w:rFonts w:cs="Arial" w:ascii="Arial" w:hAnsi="Arial"/>
        </w:rPr>
        <w:t>Sposób instalacji VR nie może pogarszać warunków bezpieczeństwa użytkowników pojazdu ani innych uczestników ruchu.</w:t>
      </w:r>
    </w:p>
    <w:p>
      <w:pPr>
        <w:pStyle w:val="ListParagraph"/>
        <w:numPr>
          <w:ilvl w:val="0"/>
          <w:numId w:val="15"/>
        </w:numPr>
        <w:tabs>
          <w:tab w:val="clear" w:pos="708"/>
          <w:tab w:val="left" w:pos="426" w:leader="none"/>
        </w:tabs>
        <w:spacing w:lineRule="auto" w:line="240" w:before="0" w:after="0"/>
        <w:contextualSpacing/>
        <w:jc w:val="both"/>
        <w:rPr>
          <w:rFonts w:ascii="Arial" w:hAnsi="Arial" w:cs="Arial"/>
        </w:rPr>
      </w:pPr>
      <w:r>
        <w:rPr>
          <w:rFonts w:cs="Arial" w:ascii="Arial" w:hAnsi="Arial"/>
        </w:rPr>
        <w:t>Kierowca i pasażer obok kierowcy, w czasie postoju muszą mieć możliwość obsługi urządzenia bez zmiany zajmowanego miejsca.</w:t>
      </w:r>
    </w:p>
    <w:p>
      <w:pPr>
        <w:pStyle w:val="ListParagraph"/>
        <w:numPr>
          <w:ilvl w:val="0"/>
          <w:numId w:val="15"/>
        </w:numPr>
        <w:tabs>
          <w:tab w:val="clear" w:pos="708"/>
          <w:tab w:val="left" w:pos="426" w:leader="none"/>
        </w:tabs>
        <w:spacing w:lineRule="auto" w:line="240" w:before="0" w:after="0"/>
        <w:contextualSpacing/>
        <w:jc w:val="both"/>
        <w:rPr>
          <w:rFonts w:ascii="Arial" w:hAnsi="Arial" w:cs="Arial"/>
        </w:rPr>
      </w:pPr>
      <w:r>
        <w:rPr>
          <w:rFonts w:cs="Arial" w:ascii="Arial" w:hAnsi="Arial"/>
        </w:rPr>
        <w:t>Zamontowany VR nie może niszczyć elementów i wyposażenia pojazdu. Miejsce montażu VR nie może kolidować z działaniem poduszek powietrznych. Elementy VR poprzez uchwyty muszą być przymocowane do elementów stałych pojazdu. Montaż VR musi być zgodny ze specyfikacją techniczną samochodu (załącznik do SWZ) tj. z punktem 1.6 „Wymagania techniczne dotyczące montażu elementów specjalistycznej zabudowy".</w:t>
      </w:r>
    </w:p>
    <w:p>
      <w:pPr>
        <w:pStyle w:val="ListParagraph"/>
        <w:numPr>
          <w:ilvl w:val="0"/>
          <w:numId w:val="15"/>
        </w:numPr>
        <w:tabs>
          <w:tab w:val="clear" w:pos="708"/>
          <w:tab w:val="left" w:pos="426" w:leader="none"/>
        </w:tabs>
        <w:spacing w:lineRule="auto" w:line="240" w:before="0" w:after="0"/>
        <w:contextualSpacing/>
        <w:jc w:val="both"/>
        <w:rPr>
          <w:rFonts w:ascii="Arial" w:hAnsi="Arial" w:cs="Arial"/>
        </w:rPr>
      </w:pPr>
      <w:r>
        <w:rPr>
          <w:rFonts w:cs="Arial" w:ascii="Arial" w:hAnsi="Arial"/>
        </w:rPr>
        <w:t>Kamery będą zamontowane wewnątrz pojazdu, w górnej lub dolnej części podszybia odpowiednio szyby przedniej i tylnej, w sposób eliminujący odbicie obrazu od wewnętrznej powierzchni tych szyb.</w:t>
      </w:r>
    </w:p>
    <w:p>
      <w:pPr>
        <w:pStyle w:val="ListParagraph"/>
        <w:numPr>
          <w:ilvl w:val="0"/>
          <w:numId w:val="15"/>
        </w:numPr>
        <w:tabs>
          <w:tab w:val="clear" w:pos="708"/>
          <w:tab w:val="left" w:pos="426" w:leader="none"/>
        </w:tabs>
        <w:spacing w:lineRule="auto" w:line="240" w:before="0" w:after="0"/>
        <w:contextualSpacing/>
        <w:jc w:val="both"/>
        <w:rPr>
          <w:rFonts w:ascii="Arial" w:hAnsi="Arial" w:cs="Arial"/>
        </w:rPr>
      </w:pPr>
      <w:r>
        <w:rPr>
          <w:rFonts w:cs="Arial" w:ascii="Arial" w:hAnsi="Arial"/>
        </w:rPr>
        <w:t>Monitor będzie zamontowany w środkowej części konsoli deski rozdzielczej. Bez możliwości jego złożenia. Nie będzie ograniczał pola widzenia kierowcy oraz nie będzie utrudniał korzystania z elementów umieszczonych na konsoli deski rozdzielczej.</w:t>
      </w:r>
    </w:p>
    <w:p>
      <w:pPr>
        <w:pStyle w:val="ListParagraph"/>
        <w:numPr>
          <w:ilvl w:val="0"/>
          <w:numId w:val="15"/>
        </w:numPr>
        <w:tabs>
          <w:tab w:val="clear" w:pos="708"/>
          <w:tab w:val="left" w:pos="426" w:leader="none"/>
        </w:tabs>
        <w:spacing w:lineRule="auto" w:line="240" w:before="0" w:after="0"/>
        <w:contextualSpacing/>
        <w:jc w:val="both"/>
        <w:rPr>
          <w:rFonts w:ascii="Arial" w:hAnsi="Arial" w:cs="Arial"/>
        </w:rPr>
      </w:pPr>
      <w:r>
        <w:rPr>
          <w:rFonts w:cs="Arial" w:ascii="Arial" w:hAnsi="Arial"/>
        </w:rPr>
        <w:t>Pulpit sterowniczy/pilot będzie umieszczony w miejscu umożliwiającym obsługę przez kierowcę i pasażera (po prawej stronie dźwigni zmiany biegów).</w:t>
      </w:r>
    </w:p>
    <w:p>
      <w:pPr>
        <w:pStyle w:val="ListParagraph"/>
        <w:numPr>
          <w:ilvl w:val="0"/>
          <w:numId w:val="15"/>
        </w:numPr>
        <w:tabs>
          <w:tab w:val="clear" w:pos="708"/>
          <w:tab w:val="left" w:pos="426" w:leader="none"/>
        </w:tabs>
        <w:spacing w:lineRule="auto" w:line="240" w:before="0" w:after="0"/>
        <w:contextualSpacing/>
        <w:jc w:val="both"/>
        <w:rPr>
          <w:rFonts w:ascii="Arial" w:hAnsi="Arial" w:cs="Arial"/>
        </w:rPr>
      </w:pPr>
      <w:r>
        <w:rPr>
          <w:rFonts w:cs="Arial" w:ascii="Arial" w:hAnsi="Arial"/>
        </w:rPr>
        <w:t>Elementy wchodzące w skład VR będą umieszczone w miejscach wskazanych przez Wykonawcę, w uzgodnieniu z Zamawiającym. Ocena projektu modyfikacji pojazdu będzie polegała między innymi na sprawdzeniu proponowanego miejsca montażu urządzeń oraz ich działania. Wykonawca zapewni miejsce do przeprowadzenia testu dynamicznego na terenie województwa lubelskiego.</w:t>
      </w:r>
    </w:p>
    <w:p>
      <w:pPr>
        <w:pStyle w:val="ListParagraph"/>
        <w:numPr>
          <w:ilvl w:val="0"/>
          <w:numId w:val="15"/>
        </w:numPr>
        <w:tabs>
          <w:tab w:val="clear" w:pos="708"/>
          <w:tab w:val="left" w:pos="426" w:leader="none"/>
        </w:tabs>
        <w:spacing w:lineRule="auto" w:line="240" w:before="0" w:after="0"/>
        <w:contextualSpacing/>
        <w:jc w:val="both"/>
        <w:rPr>
          <w:rFonts w:ascii="Arial" w:hAnsi="Arial" w:cs="Arial"/>
        </w:rPr>
      </w:pPr>
      <w:r>
        <w:rPr>
          <w:rFonts w:cs="Arial" w:ascii="Arial" w:hAnsi="Arial"/>
        </w:rPr>
        <w:t>Sposób montażu sprzętu w pojeździe musi być zgodny z wytycznymi Regulaminu EKG ONZ nr 21. Spełnienie warunku musi być potwierdzone badaniem wykonanym przez akredytowaną jednostkę badawczą lub certyfikującą (dokument potwierdzający zgodność musi być dostarczony na etapie odbioru przedmiotu umowy).</w:t>
      </w:r>
    </w:p>
    <w:p>
      <w:pPr>
        <w:pStyle w:val="Normal"/>
        <w:tabs>
          <w:tab w:val="clear" w:pos="708"/>
          <w:tab w:val="left" w:pos="426" w:leader="none"/>
        </w:tabs>
        <w:spacing w:lineRule="auto" w:line="240" w:before="0" w:after="0"/>
        <w:ind w:start="426"/>
        <w:jc w:val="both"/>
        <w:rPr>
          <w:rFonts w:ascii="Arial" w:hAnsi="Arial" w:cs="Arial"/>
        </w:rPr>
      </w:pPr>
      <w:r>
        <w:rPr>
          <w:rFonts w:cs="Arial" w:ascii="Arial" w:hAnsi="Arial"/>
        </w:rPr>
      </w:r>
    </w:p>
    <w:p>
      <w:pPr>
        <w:pStyle w:val="Normal"/>
        <w:spacing w:lineRule="auto" w:line="240" w:before="0" w:after="0"/>
        <w:jc w:val="center"/>
        <w:rPr>
          <w:rFonts w:ascii="Arial" w:hAnsi="Arial" w:cs="Arial"/>
        </w:rPr>
      </w:pPr>
      <w:r>
        <w:rPr>
          <w:rFonts w:cs="Arial" w:ascii="Arial" w:hAnsi="Arial"/>
          <w:b/>
        </w:rPr>
        <w:t>WYMAGANIA DOTYCZĄCE LEGALIZACJI VIDEOREJE STRATO RA (VR):</w:t>
      </w:r>
    </w:p>
    <w:p>
      <w:pPr>
        <w:pStyle w:val="ListParagraph"/>
        <w:numPr>
          <w:ilvl w:val="1"/>
          <w:numId w:val="12"/>
        </w:numPr>
        <w:spacing w:lineRule="auto" w:line="240" w:before="0" w:after="0"/>
        <w:contextualSpacing/>
        <w:jc w:val="both"/>
        <w:rPr>
          <w:rFonts w:ascii="Arial" w:hAnsi="Arial" w:cs="Arial"/>
        </w:rPr>
      </w:pPr>
      <w:r>
        <w:rPr>
          <w:rFonts w:cs="Arial" w:ascii="Arial" w:hAnsi="Arial"/>
        </w:rPr>
        <w:t>VR musi być zgodny z regulaminem EKG ONZ nr 10 wraz z poprawkami według stanu prawnego na dzień składania ofert (dokument potwierdzający zgodność musi być złożony wraz z ofertą).</w:t>
      </w:r>
    </w:p>
    <w:p>
      <w:pPr>
        <w:pStyle w:val="ListParagraph"/>
        <w:numPr>
          <w:ilvl w:val="1"/>
          <w:numId w:val="12"/>
        </w:numPr>
        <w:spacing w:lineRule="auto" w:line="240" w:before="0" w:after="0"/>
        <w:contextualSpacing/>
        <w:jc w:val="both"/>
        <w:rPr>
          <w:rFonts w:ascii="Arial" w:hAnsi="Arial" w:cs="Arial"/>
        </w:rPr>
      </w:pPr>
      <w:r>
        <w:rPr>
          <w:rFonts w:cs="Arial" w:ascii="Arial" w:hAnsi="Arial"/>
        </w:rPr>
        <w:t>VR musi posiadać zgodnie z ustawą z dnia 11 maja 2001 r. Prawo o miarach ((Dz. U. z 2020 r., poz. 2166 t.j.) oraz Rozporządzeniem Ministra Rozwoju i Finansów z dnia 13 kwietnia 2017 roku w sprawie rodzajów przyrządów pomiarowych podlegających prawnej kontroli metrologicznej oraz zakresu tej kontroli (Dz. U. poz. 885):</w:t>
      </w:r>
    </w:p>
    <w:p>
      <w:pPr>
        <w:pStyle w:val="ListParagraph"/>
        <w:numPr>
          <w:ilvl w:val="2"/>
          <w:numId w:val="12"/>
        </w:numPr>
        <w:spacing w:lineRule="auto" w:line="240" w:before="0" w:after="0"/>
        <w:ind w:hanging="283" w:start="709"/>
        <w:contextualSpacing/>
        <w:jc w:val="both"/>
        <w:rPr>
          <w:rFonts w:ascii="Arial" w:hAnsi="Arial" w:cs="Arial"/>
        </w:rPr>
      </w:pPr>
      <w:r>
        <w:rPr>
          <w:rFonts w:cs="Arial" w:ascii="Arial" w:hAnsi="Arial"/>
        </w:rPr>
        <w:t>Decyzję Prezesa Głównego Urzędu Miar zatwierdzającą typ przyrządów do pomiaru prędkości pojazdów w ruchu drogowym lub decyzję Prezesa Głównego Urzędu Miar uznającą odpowiednie dokumenty potwierdzające dokonanie prawnej kontroli metrologicznej VR przez właściwe zagraniczne instytucje metrologiczne (kserokopia poświadczona za zgodność z oryginałem decyzji Prezesa GUM musi być złożona wraz z ofertą).</w:t>
      </w:r>
    </w:p>
    <w:p>
      <w:pPr>
        <w:pStyle w:val="ListParagraph"/>
        <w:numPr>
          <w:ilvl w:val="2"/>
          <w:numId w:val="12"/>
        </w:numPr>
        <w:spacing w:lineRule="auto" w:line="240" w:before="0" w:after="0"/>
        <w:ind w:hanging="283" w:start="709"/>
        <w:contextualSpacing/>
        <w:jc w:val="both"/>
        <w:rPr>
          <w:rFonts w:ascii="Arial" w:hAnsi="Arial" w:cs="Arial"/>
        </w:rPr>
      </w:pPr>
      <w:r>
        <w:rPr>
          <w:rFonts w:cs="Arial" w:ascii="Arial" w:hAnsi="Arial"/>
        </w:rPr>
        <w:t>Świadectwo pierwotnej legalizacji (dostarczone na etapie odbioru jakościowego).</w:t>
      </w:r>
    </w:p>
    <w:p>
      <w:pPr>
        <w:pStyle w:val="ListParagraph"/>
        <w:spacing w:lineRule="auto" w:line="240" w:before="0" w:after="0"/>
        <w:ind w:start="709"/>
        <w:contextualSpacing/>
        <w:jc w:val="both"/>
        <w:rPr>
          <w:rFonts w:ascii="Arial" w:hAnsi="Arial" w:cs="Arial"/>
        </w:rPr>
      </w:pPr>
      <w:r>
        <w:rPr>
          <w:rFonts w:cs="Arial" w:ascii="Arial" w:hAnsi="Arial"/>
        </w:rPr>
      </w:r>
    </w:p>
    <w:p>
      <w:pPr>
        <w:pStyle w:val="Normal"/>
        <w:spacing w:lineRule="auto" w:line="240" w:before="0" w:after="0"/>
        <w:ind w:start="426"/>
        <w:jc w:val="both"/>
        <w:rPr>
          <w:rFonts w:cs="Calibri" w:cstheme="minorHAnsi"/>
          <w:b/>
          <w:bCs/>
        </w:rPr>
      </w:pPr>
      <w:r>
        <w:rPr>
          <w:rFonts w:cs="Calibri" w:cstheme="minorHAnsi"/>
          <w:b/>
          <w:bCs/>
        </w:rPr>
      </w:r>
    </w:p>
    <w:sectPr>
      <w:footerReference w:type="even" r:id="rId2"/>
      <w:footerReference w:type="default" r:id="rId3"/>
      <w:footerReference w:type="first" r:id="rId4"/>
      <w:type w:val="nextPage"/>
      <w:pgSz w:w="11906" w:h="16838"/>
      <w:pgMar w:left="1417" w:right="1417" w:gutter="0" w:header="0" w:top="709" w:footer="708"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Calibri">
    <w:charset w:val="ee" w:characterSet="windows-1250"/>
    <w:family w:val="roman"/>
    <w:pitch w:val="variable"/>
  </w:font>
  <w:font w:name="Arial">
    <w:charset w:val="ee" w:characterSet="windows-1250"/>
    <w:family w:val="swiss"/>
    <w:pitch w:val="variable"/>
  </w:font>
  <w:font w:name="Segoe UI">
    <w:charset w:val="ee" w:characterSet="windows-1250"/>
    <w:family w:val="swiss"/>
    <w:pitch w:val="variable"/>
  </w:font>
  <w:font w:name="Liberation Sans">
    <w:altName w:val="Arial"/>
    <w:charset w:val="ee" w:characterSet="windows-1250"/>
    <w:family w:val="swiss"/>
    <w:pitch w:val="variable"/>
  </w:font>
  <w:font w:name="Times New Roman">
    <w:charset w:val="ee" w:characterSet="windows-125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20106165"/>
    </w:sdtPr>
    <w:sdtContent>
      <w:p>
        <w:pPr>
          <w:pStyle w:val="Footer"/>
          <w:jc w:val="center"/>
          <w:rPr>
            <w:rFonts w:ascii="Arial" w:hAnsi="Arial" w:cs="Arial"/>
            <w:sz w:val="18"/>
            <w:szCs w:val="18"/>
          </w:rPr>
        </w:pPr>
        <w:r>
          <w:rPr>
            <w:rFonts w:cs="Arial" w:ascii="Arial" w:hAnsi="Arial"/>
            <w:sz w:val="18"/>
            <w:szCs w:val="18"/>
          </w:rPr>
          <w:fldChar w:fldCharType="begin"/>
        </w:r>
        <w:r>
          <w:rPr>
            <w:sz w:val="18"/>
            <w:szCs w:val="18"/>
            <w:rFonts w:cs="Arial" w:ascii="Arial" w:hAnsi="Arial"/>
          </w:rPr>
          <w:instrText xml:space="preserve"> PAGE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120106165"/>
    </w:sdtPr>
    <w:sdtContent>
      <w:p>
        <w:pPr>
          <w:pStyle w:val="Footer"/>
          <w:jc w:val="center"/>
          <w:rPr>
            <w:rFonts w:ascii="Arial" w:hAnsi="Arial" w:cs="Arial"/>
            <w:sz w:val="18"/>
            <w:szCs w:val="18"/>
          </w:rPr>
        </w:pPr>
        <w:r>
          <w:rPr>
            <w:rFonts w:cs="Arial" w:ascii="Arial" w:hAnsi="Arial"/>
            <w:sz w:val="18"/>
            <w:szCs w:val="18"/>
          </w:rPr>
          <w:fldChar w:fldCharType="begin"/>
        </w:r>
        <w:r>
          <w:rPr>
            <w:sz w:val="18"/>
            <w:szCs w:val="18"/>
            <w:rFonts w:cs="Arial" w:ascii="Arial" w:hAnsi="Arial"/>
          </w:rPr>
          <w:instrText xml:space="preserve"> PAGE </w:instrText>
        </w:r>
        <w:r>
          <w:rPr>
            <w:sz w:val="18"/>
            <w:szCs w:val="18"/>
            <w:rFonts w:cs="Arial" w:ascii="Arial" w:hAnsi="Arial"/>
          </w:rPr>
          <w:fldChar w:fldCharType="separate"/>
        </w:r>
        <w:r>
          <w:rPr>
            <w:sz w:val="18"/>
            <w:szCs w:val="18"/>
            <w:rFonts w:cs="Arial" w:ascii="Arial" w:hAnsi="Arial"/>
          </w:rPr>
          <w:t>9</w:t>
        </w:r>
        <w:r>
          <w:rPr>
            <w:sz w:val="18"/>
            <w:szCs w:val="18"/>
            <w:rFonts w:cs="Arial" w:ascii="Arial" w:hAnsi="Arial"/>
          </w:rPr>
          <w:fldChar w:fldCharType="end"/>
        </w:r>
      </w:p>
    </w:sdtContent>
  </w:sdt>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1">
      <w:start w:val="1"/>
      <w:numFmt w:val="lowerLetter"/>
      <w:lvlText w:val="%2"/>
      <w:lvlJc w:val="start"/>
      <w:pPr>
        <w:tabs>
          <w:tab w:val="num" w:pos="0"/>
        </w:tabs>
        <w:ind w:start="548"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2">
      <w:start w:val="1"/>
      <w:numFmt w:val="lowerRoman"/>
      <w:lvlText w:val="%3"/>
      <w:lvlJc w:val="start"/>
      <w:pPr>
        <w:tabs>
          <w:tab w:val="num" w:pos="0"/>
        </w:tabs>
        <w:ind w:start="736"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3">
      <w:start w:val="1"/>
      <w:numFmt w:val="decimal"/>
      <w:lvlText w:val="%4"/>
      <w:lvlJc w:val="start"/>
      <w:pPr>
        <w:tabs>
          <w:tab w:val="num" w:pos="0"/>
        </w:tabs>
        <w:ind w:start="924"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4">
      <w:start w:val="1"/>
      <w:numFmt w:val="lowerLetter"/>
      <w:lvlText w:val="%5"/>
      <w:lvlJc w:val="start"/>
      <w:pPr>
        <w:tabs>
          <w:tab w:val="num" w:pos="0"/>
        </w:tabs>
        <w:ind w:start="1112"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5">
      <w:start w:val="1"/>
      <w:numFmt w:val="lowerRoman"/>
      <w:lvlText w:val="%6"/>
      <w:lvlJc w:val="start"/>
      <w:pPr>
        <w:tabs>
          <w:tab w:val="num" w:pos="0"/>
        </w:tabs>
        <w:ind w:start="1300"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6">
      <w:start w:val="1"/>
      <w:numFmt w:val="lowerLetter"/>
      <w:lvlText w:val="%7)"/>
      <w:lvlJc w:val="start"/>
      <w:pPr>
        <w:tabs>
          <w:tab w:val="num" w:pos="0"/>
        </w:tabs>
        <w:ind w:start="1846"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7">
      <w:start w:val="1"/>
      <w:numFmt w:val="lowerLetter"/>
      <w:lvlText w:val="%8"/>
      <w:lvlJc w:val="start"/>
      <w:pPr>
        <w:tabs>
          <w:tab w:val="num" w:pos="0"/>
        </w:tabs>
        <w:ind w:start="2209"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8">
      <w:start w:val="1"/>
      <w:numFmt w:val="lowerRoman"/>
      <w:lvlText w:val="%9"/>
      <w:lvlJc w:val="start"/>
      <w:pPr>
        <w:tabs>
          <w:tab w:val="num" w:pos="0"/>
        </w:tabs>
        <w:ind w:start="2929"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abstractNum>
  <w:abstractNum w:abstractNumId="2">
    <w:lvl w:ilvl="0">
      <w:start w:val="1"/>
      <w:numFmt w:val="decimal"/>
      <w:lvlText w:val="%1"/>
      <w:lvlJc w:val="start"/>
      <w:pPr>
        <w:tabs>
          <w:tab w:val="num" w:pos="0"/>
        </w:tabs>
        <w:ind w:start="360"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1">
      <w:start w:val="1"/>
      <w:numFmt w:val="lowerLetter"/>
      <w:lvlText w:val="%2"/>
      <w:lvlJc w:val="start"/>
      <w:pPr>
        <w:tabs>
          <w:tab w:val="num" w:pos="0"/>
        </w:tabs>
        <w:ind w:start="548"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2">
      <w:start w:val="1"/>
      <w:numFmt w:val="lowerRoman"/>
      <w:lvlText w:val="%3"/>
      <w:lvlJc w:val="start"/>
      <w:pPr>
        <w:tabs>
          <w:tab w:val="num" w:pos="0"/>
        </w:tabs>
        <w:ind w:start="737"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3">
      <w:start w:val="1"/>
      <w:numFmt w:val="decimal"/>
      <w:lvlText w:val="%4"/>
      <w:lvlJc w:val="start"/>
      <w:pPr>
        <w:tabs>
          <w:tab w:val="num" w:pos="0"/>
        </w:tabs>
        <w:ind w:start="925"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4">
      <w:start w:val="1"/>
      <w:numFmt w:val="lowerLetter"/>
      <w:lvlText w:val="%5"/>
      <w:lvlJc w:val="start"/>
      <w:pPr>
        <w:tabs>
          <w:tab w:val="num" w:pos="0"/>
        </w:tabs>
        <w:ind w:start="1114"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5">
      <w:start w:val="1"/>
      <w:numFmt w:val="lowerRoman"/>
      <w:lvlText w:val="%6"/>
      <w:lvlJc w:val="start"/>
      <w:pPr>
        <w:tabs>
          <w:tab w:val="num" w:pos="0"/>
        </w:tabs>
        <w:ind w:start="1302"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6">
      <w:start w:val="1"/>
      <w:numFmt w:val="lowerLetter"/>
      <w:lvlText w:val="%7)"/>
      <w:lvlJc w:val="start"/>
      <w:pPr>
        <w:tabs>
          <w:tab w:val="num" w:pos="0"/>
        </w:tabs>
        <w:ind w:start="1832"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7">
      <w:start w:val="1"/>
      <w:numFmt w:val="lowerLetter"/>
      <w:lvlText w:val="%8"/>
      <w:lvlJc w:val="start"/>
      <w:pPr>
        <w:tabs>
          <w:tab w:val="num" w:pos="0"/>
        </w:tabs>
        <w:ind w:start="2210"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8">
      <w:start w:val="1"/>
      <w:numFmt w:val="lowerRoman"/>
      <w:lvlText w:val="%9"/>
      <w:lvlJc w:val="start"/>
      <w:pPr>
        <w:tabs>
          <w:tab w:val="num" w:pos="0"/>
        </w:tabs>
        <w:ind w:start="2930"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abstractNum>
  <w:abstractNum w:abstractNumId="3">
    <w:lvl w:ilvl="0">
      <w:start w:val="1"/>
      <w:numFmt w:val="decimal"/>
      <w:lvlText w:val="%1"/>
      <w:lvlJc w:val="start"/>
      <w:pPr>
        <w:tabs>
          <w:tab w:val="num" w:pos="0"/>
        </w:tabs>
        <w:ind w:start="360"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1">
      <w:start w:val="1"/>
      <w:numFmt w:val="lowerLetter"/>
      <w:lvlText w:val="%2"/>
      <w:lvlJc w:val="start"/>
      <w:pPr>
        <w:tabs>
          <w:tab w:val="num" w:pos="0"/>
        </w:tabs>
        <w:ind w:start="548"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2">
      <w:start w:val="1"/>
      <w:numFmt w:val="lowerRoman"/>
      <w:lvlText w:val="%3"/>
      <w:lvlJc w:val="start"/>
      <w:pPr>
        <w:tabs>
          <w:tab w:val="num" w:pos="0"/>
        </w:tabs>
        <w:ind w:start="735"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3">
      <w:start w:val="1"/>
      <w:numFmt w:val="decimal"/>
      <w:lvlText w:val="%4"/>
      <w:lvlJc w:val="start"/>
      <w:pPr>
        <w:tabs>
          <w:tab w:val="num" w:pos="0"/>
        </w:tabs>
        <w:ind w:start="923"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4">
      <w:start w:val="1"/>
      <w:numFmt w:val="lowerLetter"/>
      <w:lvlText w:val="%5"/>
      <w:lvlJc w:val="start"/>
      <w:pPr>
        <w:tabs>
          <w:tab w:val="num" w:pos="0"/>
        </w:tabs>
        <w:ind w:start="1110"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5">
      <w:start w:val="1"/>
      <w:numFmt w:val="lowerRoman"/>
      <w:lvlText w:val="%6"/>
      <w:lvlJc w:val="start"/>
      <w:pPr>
        <w:tabs>
          <w:tab w:val="num" w:pos="0"/>
        </w:tabs>
        <w:ind w:start="1298"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6">
      <w:start w:val="1"/>
      <w:numFmt w:val="lowerLetter"/>
      <w:lvlText w:val="%7)"/>
      <w:lvlJc w:val="start"/>
      <w:pPr>
        <w:tabs>
          <w:tab w:val="num" w:pos="0"/>
        </w:tabs>
        <w:ind w:start="1839"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7">
      <w:start w:val="1"/>
      <w:numFmt w:val="lowerLetter"/>
      <w:lvlText w:val="%8"/>
      <w:lvlJc w:val="start"/>
      <w:pPr>
        <w:tabs>
          <w:tab w:val="num" w:pos="0"/>
        </w:tabs>
        <w:ind w:start="2206"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8">
      <w:start w:val="1"/>
      <w:numFmt w:val="lowerRoman"/>
      <w:lvlText w:val="%9"/>
      <w:lvlJc w:val="start"/>
      <w:pPr>
        <w:tabs>
          <w:tab w:val="num" w:pos="0"/>
        </w:tabs>
        <w:ind w:start="2926"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abstractNum>
  <w:abstractNum w:abstractNumId="4">
    <w:lvl w:ilvl="0">
      <w:start w:val="1"/>
      <w:numFmt w:val="decimal"/>
      <w:lvlText w:val="%1"/>
      <w:lvlJc w:val="start"/>
      <w:pPr>
        <w:tabs>
          <w:tab w:val="num" w:pos="0"/>
        </w:tabs>
        <w:ind w:start="360"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1">
      <w:start w:val="1"/>
      <w:numFmt w:val="lowerLetter"/>
      <w:lvlText w:val="%2"/>
      <w:lvlJc w:val="start"/>
      <w:pPr>
        <w:tabs>
          <w:tab w:val="num" w:pos="0"/>
        </w:tabs>
        <w:ind w:start="546"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2">
      <w:start w:val="1"/>
      <w:numFmt w:val="lowerRoman"/>
      <w:lvlText w:val="%3"/>
      <w:lvlJc w:val="start"/>
      <w:pPr>
        <w:tabs>
          <w:tab w:val="num" w:pos="0"/>
        </w:tabs>
        <w:ind w:start="732"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3">
      <w:start w:val="1"/>
      <w:numFmt w:val="decimal"/>
      <w:lvlText w:val="%4"/>
      <w:lvlJc w:val="start"/>
      <w:pPr>
        <w:tabs>
          <w:tab w:val="num" w:pos="0"/>
        </w:tabs>
        <w:ind w:start="918"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4">
      <w:start w:val="1"/>
      <w:numFmt w:val="lowerLetter"/>
      <w:lvlText w:val="%5"/>
      <w:lvlJc w:val="start"/>
      <w:pPr>
        <w:tabs>
          <w:tab w:val="num" w:pos="0"/>
        </w:tabs>
        <w:ind w:start="1104"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5">
      <w:start w:val="1"/>
      <w:numFmt w:val="lowerRoman"/>
      <w:lvlText w:val="%6"/>
      <w:lvlJc w:val="start"/>
      <w:pPr>
        <w:tabs>
          <w:tab w:val="num" w:pos="0"/>
        </w:tabs>
        <w:ind w:start="1290"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6">
      <w:start w:val="1"/>
      <w:numFmt w:val="lowerLetter"/>
      <w:lvlText w:val="%7)"/>
      <w:lvlJc w:val="start"/>
      <w:pPr>
        <w:tabs>
          <w:tab w:val="num" w:pos="0"/>
        </w:tabs>
        <w:ind w:start="1659"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7">
      <w:start w:val="1"/>
      <w:numFmt w:val="lowerLetter"/>
      <w:lvlText w:val="%8"/>
      <w:lvlJc w:val="start"/>
      <w:pPr>
        <w:tabs>
          <w:tab w:val="num" w:pos="0"/>
        </w:tabs>
        <w:ind w:start="2196"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lvl w:ilvl="8">
      <w:start w:val="1"/>
      <w:numFmt w:val="lowerRoman"/>
      <w:lvlText w:val="%9"/>
      <w:lvlJc w:val="start"/>
      <w:pPr>
        <w:tabs>
          <w:tab w:val="num" w:pos="0"/>
        </w:tabs>
        <w:ind w:start="2916" w:hanging="0"/>
      </w:pPr>
      <w:rPr>
        <w:dstrike w:val="false"/>
        <w:strike w:val="false"/>
        <w:vertAlign w:val="baseline"/>
        <w:position w:val="0"/>
        <w:sz w:val="22"/>
        <w:sz w:val="22"/>
        <w:i w:val="false"/>
        <w:u w:val="none" w:color="000000"/>
        <w:b w:val="false"/>
        <w:shd w:fill="auto" w:val="clear"/>
        <w:szCs w:val="22"/>
        <w:rFonts w:ascii="Arial" w:hAnsi="Arial" w:eastAsia="Arial" w:cs="Arial"/>
        <w:color w:val="000000"/>
      </w:rPr>
    </w:lvl>
  </w:abstractNum>
  <w:abstractNum w:abstractNumId="5">
    <w:lvl w:ilvl="0">
      <w:start w:val="1"/>
      <w:numFmt w:val="decimal"/>
      <w:lvlText w:val="%1"/>
      <w:lvlJc w:val="start"/>
      <w:pPr>
        <w:tabs>
          <w:tab w:val="num" w:pos="0"/>
        </w:tabs>
        <w:ind w:start="360"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1">
      <w:start w:val="1"/>
      <w:numFmt w:val="lowerLetter"/>
      <w:lvlText w:val="%2"/>
      <w:lvlJc w:val="start"/>
      <w:pPr>
        <w:tabs>
          <w:tab w:val="num" w:pos="0"/>
        </w:tabs>
        <w:ind w:start="655"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2">
      <w:start w:val="1"/>
      <w:numFmt w:val="lowerLetter"/>
      <w:lvlText w:val="%3)"/>
      <w:lvlJc w:val="start"/>
      <w:pPr>
        <w:tabs>
          <w:tab w:val="num" w:pos="0"/>
        </w:tabs>
        <w:ind w:start="1299" w:hanging="0"/>
      </w:pPr>
      <w:rPr>
        <w:dstrike w:val="false"/>
        <w:strike w:val="false"/>
        <w:vertAlign w:val="baseline"/>
        <w:position w:val="0"/>
        <w:sz w:val="22"/>
        <w:sz w:val="22"/>
        <w:i w:val="false"/>
        <w:u w:val="none" w:color="000000"/>
        <w:b w:val="false"/>
        <w:shd w:fill="auto" w:val="clear"/>
        <w:szCs w:val="22"/>
        <w:rFonts w:ascii="Arial" w:hAnsi="Arial" w:eastAsia="Times New Roman" w:cs="Arial"/>
        <w:color w:val="000000"/>
      </w:rPr>
    </w:lvl>
    <w:lvl w:ilvl="3">
      <w:start w:val="1"/>
      <w:numFmt w:val="decimal"/>
      <w:lvlText w:val="%4"/>
      <w:lvlJc w:val="start"/>
      <w:pPr>
        <w:tabs>
          <w:tab w:val="num" w:pos="0"/>
        </w:tabs>
        <w:ind w:start="1670"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4">
      <w:start w:val="1"/>
      <w:numFmt w:val="lowerLetter"/>
      <w:lvlText w:val="%5"/>
      <w:lvlJc w:val="start"/>
      <w:pPr>
        <w:tabs>
          <w:tab w:val="num" w:pos="0"/>
        </w:tabs>
        <w:ind w:start="2390"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5">
      <w:start w:val="1"/>
      <w:numFmt w:val="lowerRoman"/>
      <w:lvlText w:val="%6"/>
      <w:lvlJc w:val="start"/>
      <w:pPr>
        <w:tabs>
          <w:tab w:val="num" w:pos="0"/>
        </w:tabs>
        <w:ind w:start="3110"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6">
      <w:start w:val="1"/>
      <w:numFmt w:val="decimal"/>
      <w:lvlText w:val="%7"/>
      <w:lvlJc w:val="start"/>
      <w:pPr>
        <w:tabs>
          <w:tab w:val="num" w:pos="0"/>
        </w:tabs>
        <w:ind w:start="3830"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7">
      <w:start w:val="1"/>
      <w:numFmt w:val="lowerLetter"/>
      <w:lvlText w:val="%8"/>
      <w:lvlJc w:val="start"/>
      <w:pPr>
        <w:tabs>
          <w:tab w:val="num" w:pos="0"/>
        </w:tabs>
        <w:ind w:start="4550"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8">
      <w:start w:val="1"/>
      <w:numFmt w:val="lowerRoman"/>
      <w:lvlText w:val="%9"/>
      <w:lvlJc w:val="start"/>
      <w:pPr>
        <w:tabs>
          <w:tab w:val="num" w:pos="0"/>
        </w:tabs>
        <w:ind w:start="5270"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abstractNum>
  <w:abstractNum w:abstractNumId="6">
    <w:lvl w:ilvl="0">
      <w:start w:val="1"/>
      <w:numFmt w:val="decimal"/>
      <w:lvlText w:val="%1"/>
      <w:lvlJc w:val="start"/>
      <w:pPr>
        <w:tabs>
          <w:tab w:val="num" w:pos="0"/>
        </w:tabs>
        <w:ind w:start="360"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1">
      <w:start w:val="1"/>
      <w:numFmt w:val="lowerLetter"/>
      <w:lvlText w:val="%2"/>
      <w:lvlJc w:val="start"/>
      <w:pPr>
        <w:tabs>
          <w:tab w:val="num" w:pos="0"/>
        </w:tabs>
        <w:ind w:start="652"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2">
      <w:start w:val="1"/>
      <w:numFmt w:val="lowerLetter"/>
      <w:lvlText w:val="%3)"/>
      <w:lvlJc w:val="start"/>
      <w:pPr>
        <w:tabs>
          <w:tab w:val="num" w:pos="0"/>
        </w:tabs>
        <w:ind w:start="1284" w:hanging="0"/>
      </w:pPr>
      <w:rPr>
        <w:dstrike w:val="false"/>
        <w:strike w:val="false"/>
        <w:vertAlign w:val="baseline"/>
        <w:position w:val="0"/>
        <w:sz w:val="22"/>
        <w:sz w:val="22"/>
        <w:i w:val="false"/>
        <w:u w:val="none" w:color="000000"/>
        <w:b w:val="false"/>
        <w:shd w:fill="auto" w:val="clear"/>
        <w:szCs w:val="22"/>
        <w:rFonts w:ascii="Arial" w:hAnsi="Arial" w:eastAsia="Calibri" w:cs="Arial" w:eastAsiaTheme="minorHAnsi"/>
        <w:color w:val="000000"/>
      </w:rPr>
    </w:lvl>
    <w:lvl w:ilvl="3">
      <w:start w:val="1"/>
      <w:numFmt w:val="decimal"/>
      <w:lvlText w:val="%4"/>
      <w:lvlJc w:val="start"/>
      <w:pPr>
        <w:tabs>
          <w:tab w:val="num" w:pos="0"/>
        </w:tabs>
        <w:ind w:start="1663"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4">
      <w:start w:val="1"/>
      <w:numFmt w:val="lowerLetter"/>
      <w:lvlText w:val="%5"/>
      <w:lvlJc w:val="start"/>
      <w:pPr>
        <w:tabs>
          <w:tab w:val="num" w:pos="0"/>
        </w:tabs>
        <w:ind w:start="2383"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5">
      <w:start w:val="1"/>
      <w:numFmt w:val="lowerRoman"/>
      <w:lvlText w:val="%6"/>
      <w:lvlJc w:val="start"/>
      <w:pPr>
        <w:tabs>
          <w:tab w:val="num" w:pos="0"/>
        </w:tabs>
        <w:ind w:start="3103"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6">
      <w:start w:val="1"/>
      <w:numFmt w:val="decimal"/>
      <w:lvlText w:val="%7"/>
      <w:lvlJc w:val="start"/>
      <w:pPr>
        <w:tabs>
          <w:tab w:val="num" w:pos="0"/>
        </w:tabs>
        <w:ind w:start="3823"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7">
      <w:start w:val="1"/>
      <w:numFmt w:val="lowerLetter"/>
      <w:lvlText w:val="%8"/>
      <w:lvlJc w:val="start"/>
      <w:pPr>
        <w:tabs>
          <w:tab w:val="num" w:pos="0"/>
        </w:tabs>
        <w:ind w:start="4543"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lvl w:ilvl="8">
      <w:start w:val="1"/>
      <w:numFmt w:val="lowerRoman"/>
      <w:lvlText w:val="%9"/>
      <w:lvlJc w:val="start"/>
      <w:pPr>
        <w:tabs>
          <w:tab w:val="num" w:pos="0"/>
        </w:tabs>
        <w:ind w:start="5263" w:hanging="0"/>
      </w:pPr>
      <w:rPr>
        <w:dstrike w:val="false"/>
        <w:strike w:val="false"/>
        <w:vertAlign w:val="baseline"/>
        <w:position w:val="0"/>
        <w:sz w:val="22"/>
        <w:sz w:val="22"/>
        <w:i w:val="false"/>
        <w:u w:val="none" w:color="000000"/>
        <w:b w:val="false"/>
        <w:shd w:fill="auto" w:val="clear"/>
        <w:szCs w:val="22"/>
        <w:rFonts w:ascii="Times New Roman" w:hAnsi="Times New Roman" w:eastAsia="Times New Roman" w:cs="Times New Roman"/>
        <w:color w:val="000000"/>
      </w:rPr>
    </w:lvl>
  </w:abstractNum>
  <w:abstractNum w:abstractNumId="7">
    <w:lvl w:ilvl="0">
      <w:start w:val="1"/>
      <w:numFmt w:val="decimal"/>
      <w:lvlText w:val="%1."/>
      <w:lvlJc w:val="start"/>
      <w:pPr>
        <w:tabs>
          <w:tab w:val="num" w:pos="0"/>
        </w:tabs>
        <w:ind w:start="720" w:hanging="360"/>
      </w:pPr>
      <w:rPr>
        <w:b/>
      </w:rPr>
    </w:lvl>
    <w:lvl w:ilvl="1">
      <w:start w:val="1"/>
      <w:numFmt w:val="lowerLetter"/>
      <w:lvlText w:val="%2."/>
      <w:lvlJc w:val="start"/>
      <w:pPr>
        <w:tabs>
          <w:tab w:val="num" w:pos="0"/>
        </w:tabs>
        <w:ind w:start="1440" w:hanging="360"/>
      </w:pPr>
      <w:rPr/>
    </w:lvl>
    <w:lvl w:ilvl="2">
      <w:start w:val="1"/>
      <w:numFmt w:val="lowerLetter"/>
      <w:lvlText w:val="%3)"/>
      <w:lvlJc w:val="end"/>
      <w:pPr>
        <w:tabs>
          <w:tab w:val="num" w:pos="0"/>
        </w:tabs>
        <w:ind w:start="2160" w:hanging="180"/>
      </w:pPr>
      <w:rPr>
        <w:rFonts w:ascii="Arial" w:hAnsi="Arial" w:eastAsia="Calibri" w:cs="Arial" w:eastAsiaTheme="minorHAnsi"/>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8">
    <w:lvl w:ilvl="0">
      <w:start w:val="4"/>
      <w:numFmt w:val="decimal"/>
      <w:lvlText w:val="%1."/>
      <w:lvlJc w:val="start"/>
      <w:pPr>
        <w:tabs>
          <w:tab w:val="num" w:pos="0"/>
        </w:tabs>
        <w:ind w:start="360" w:hanging="360"/>
      </w:pPr>
      <w:rPr>
        <w:b/>
      </w:rPr>
    </w:lvl>
    <w:lvl w:ilvl="1">
      <w:start w:val="1"/>
      <w:numFmt w:val="decimal"/>
      <w:lvlText w:val="%2."/>
      <w:lvlJc w:val="start"/>
      <w:pPr>
        <w:tabs>
          <w:tab w:val="num" w:pos="0"/>
        </w:tabs>
        <w:ind w:start="720" w:hanging="720"/>
      </w:pPr>
      <w:rPr>
        <w:b w:val="false"/>
        <w:bCs/>
        <w:rFonts w:ascii="Arial" w:hAnsi="Arial" w:eastAsia="Calibri" w:cs="Arial" w:eastAsiaTheme="minorHAnsi"/>
      </w:rPr>
    </w:lvl>
    <w:lvl w:ilvl="2">
      <w:start w:val="1"/>
      <w:numFmt w:val="decimal"/>
      <w:lvlText w:val="%1.%2.%3."/>
      <w:lvlJc w:val="start"/>
      <w:pPr>
        <w:tabs>
          <w:tab w:val="num" w:pos="0"/>
        </w:tabs>
        <w:ind w:start="720" w:hanging="720"/>
      </w:pPr>
      <w:rPr>
        <w:b/>
      </w:rPr>
    </w:lvl>
    <w:lvl w:ilvl="3">
      <w:start w:val="1"/>
      <w:numFmt w:val="decimal"/>
      <w:lvlText w:val="%1.%2.%3.%4."/>
      <w:lvlJc w:val="start"/>
      <w:pPr>
        <w:tabs>
          <w:tab w:val="num" w:pos="0"/>
        </w:tabs>
        <w:ind w:start="1080" w:hanging="1080"/>
      </w:pPr>
      <w:rPr>
        <w:b/>
      </w:rPr>
    </w:lvl>
    <w:lvl w:ilvl="4">
      <w:start w:val="1"/>
      <w:numFmt w:val="decimal"/>
      <w:lvlText w:val="%1.%2.%3.%4.%5."/>
      <w:lvlJc w:val="start"/>
      <w:pPr>
        <w:tabs>
          <w:tab w:val="num" w:pos="0"/>
        </w:tabs>
        <w:ind w:start="1080" w:hanging="1080"/>
      </w:pPr>
      <w:rPr>
        <w:b/>
      </w:rPr>
    </w:lvl>
    <w:lvl w:ilvl="5">
      <w:start w:val="1"/>
      <w:numFmt w:val="decimal"/>
      <w:lvlText w:val="%1.%2.%3.%4.%5.%6."/>
      <w:lvlJc w:val="start"/>
      <w:pPr>
        <w:tabs>
          <w:tab w:val="num" w:pos="0"/>
        </w:tabs>
        <w:ind w:start="1440" w:hanging="1440"/>
      </w:pPr>
      <w:rPr>
        <w:b/>
      </w:rPr>
    </w:lvl>
    <w:lvl w:ilvl="6">
      <w:start w:val="1"/>
      <w:numFmt w:val="decimal"/>
      <w:lvlText w:val="%1.%2.%3.%4.%5.%6.%7."/>
      <w:lvlJc w:val="start"/>
      <w:pPr>
        <w:tabs>
          <w:tab w:val="num" w:pos="0"/>
        </w:tabs>
        <w:ind w:start="1440" w:hanging="1440"/>
      </w:pPr>
      <w:rPr>
        <w:b/>
      </w:rPr>
    </w:lvl>
    <w:lvl w:ilvl="7">
      <w:start w:val="1"/>
      <w:numFmt w:val="decimal"/>
      <w:lvlText w:val="%1.%2.%3.%4.%5.%6.%7.%8."/>
      <w:lvlJc w:val="start"/>
      <w:pPr>
        <w:tabs>
          <w:tab w:val="num" w:pos="0"/>
        </w:tabs>
        <w:ind w:start="1800" w:hanging="1800"/>
      </w:pPr>
      <w:rPr>
        <w:b/>
      </w:rPr>
    </w:lvl>
    <w:lvl w:ilvl="8">
      <w:start w:val="1"/>
      <w:numFmt w:val="decimal"/>
      <w:lvlText w:val="%1.%2.%3.%4.%5.%6.%7.%8.%9."/>
      <w:lvlJc w:val="start"/>
      <w:pPr>
        <w:tabs>
          <w:tab w:val="num" w:pos="0"/>
        </w:tabs>
        <w:ind w:start="1800" w:hanging="1800"/>
      </w:pPr>
      <w:rPr>
        <w:b/>
      </w:rPr>
    </w:lvl>
  </w:abstractNum>
  <w:abstractNum w:abstractNumId="9">
    <w:lvl w:ilvl="0">
      <w:start w:val="1"/>
      <w:numFmt w:val="lowerLetter"/>
      <w:lvlText w:val="%1)"/>
      <w:lvlJc w:val="start"/>
      <w:pPr>
        <w:tabs>
          <w:tab w:val="num" w:pos="0"/>
        </w:tabs>
        <w:ind w:start="1146" w:hanging="360"/>
      </w:pPr>
      <w:rPr/>
    </w:lvl>
    <w:lvl w:ilvl="1">
      <w:start w:val="1"/>
      <w:numFmt w:val="lowerLetter"/>
      <w:lvlText w:val="%2."/>
      <w:lvlJc w:val="start"/>
      <w:pPr>
        <w:tabs>
          <w:tab w:val="num" w:pos="0"/>
        </w:tabs>
        <w:ind w:start="1866" w:hanging="360"/>
      </w:pPr>
      <w:rPr/>
    </w:lvl>
    <w:lvl w:ilvl="2">
      <w:start w:val="1"/>
      <w:numFmt w:val="lowerRoman"/>
      <w:lvlText w:val="%3."/>
      <w:lvlJc w:val="end"/>
      <w:pPr>
        <w:tabs>
          <w:tab w:val="num" w:pos="0"/>
        </w:tabs>
        <w:ind w:start="2586" w:hanging="180"/>
      </w:pPr>
      <w:rPr/>
    </w:lvl>
    <w:lvl w:ilvl="3">
      <w:start w:val="1"/>
      <w:numFmt w:val="decimal"/>
      <w:lvlText w:val="%4."/>
      <w:lvlJc w:val="start"/>
      <w:pPr>
        <w:tabs>
          <w:tab w:val="num" w:pos="0"/>
        </w:tabs>
        <w:ind w:start="3306" w:hanging="360"/>
      </w:pPr>
      <w:rPr/>
    </w:lvl>
    <w:lvl w:ilvl="4">
      <w:start w:val="1"/>
      <w:numFmt w:val="lowerLetter"/>
      <w:lvlText w:val="%5."/>
      <w:lvlJc w:val="start"/>
      <w:pPr>
        <w:tabs>
          <w:tab w:val="num" w:pos="0"/>
        </w:tabs>
        <w:ind w:start="4026" w:hanging="360"/>
      </w:pPr>
      <w:rPr/>
    </w:lvl>
    <w:lvl w:ilvl="5">
      <w:start w:val="1"/>
      <w:numFmt w:val="lowerRoman"/>
      <w:lvlText w:val="%6."/>
      <w:lvlJc w:val="end"/>
      <w:pPr>
        <w:tabs>
          <w:tab w:val="num" w:pos="0"/>
        </w:tabs>
        <w:ind w:start="4746" w:hanging="180"/>
      </w:pPr>
      <w:rPr/>
    </w:lvl>
    <w:lvl w:ilvl="6">
      <w:start w:val="1"/>
      <w:numFmt w:val="decimal"/>
      <w:lvlText w:val="%7."/>
      <w:lvlJc w:val="start"/>
      <w:pPr>
        <w:tabs>
          <w:tab w:val="num" w:pos="0"/>
        </w:tabs>
        <w:ind w:start="5466" w:hanging="360"/>
      </w:pPr>
      <w:rPr/>
    </w:lvl>
    <w:lvl w:ilvl="7">
      <w:start w:val="1"/>
      <w:numFmt w:val="lowerLetter"/>
      <w:lvlText w:val="%8."/>
      <w:lvlJc w:val="start"/>
      <w:pPr>
        <w:tabs>
          <w:tab w:val="num" w:pos="0"/>
        </w:tabs>
        <w:ind w:start="6186" w:hanging="360"/>
      </w:pPr>
      <w:rPr/>
    </w:lvl>
    <w:lvl w:ilvl="8">
      <w:start w:val="1"/>
      <w:numFmt w:val="lowerRoman"/>
      <w:lvlText w:val="%9."/>
      <w:lvlJc w:val="end"/>
      <w:pPr>
        <w:tabs>
          <w:tab w:val="num" w:pos="0"/>
        </w:tabs>
        <w:ind w:start="6906" w:hanging="180"/>
      </w:pPr>
      <w:rPr/>
    </w:lvl>
  </w:abstractNum>
  <w:abstractNum w:abstractNumId="10">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1">
    <w:lvl w:ilvl="0">
      <w:start w:val="1"/>
      <w:numFmt w:val="lowerLetter"/>
      <w:lvlText w:val="%1)"/>
      <w:lvlJc w:val="start"/>
      <w:pPr>
        <w:tabs>
          <w:tab w:val="num" w:pos="0"/>
        </w:tabs>
        <w:ind w:start="927" w:hanging="360"/>
      </w:pPr>
      <w:rPr/>
    </w:lvl>
    <w:lvl w:ilvl="1">
      <w:start w:val="1"/>
      <w:numFmt w:val="lowerLetter"/>
      <w:lvlText w:val="%2."/>
      <w:lvlJc w:val="start"/>
      <w:pPr>
        <w:tabs>
          <w:tab w:val="num" w:pos="0"/>
        </w:tabs>
        <w:ind w:start="1647" w:hanging="360"/>
      </w:pPr>
      <w:rPr/>
    </w:lvl>
    <w:lvl w:ilvl="2">
      <w:start w:val="1"/>
      <w:numFmt w:val="lowerRoman"/>
      <w:lvlText w:val="%3."/>
      <w:lvlJc w:val="end"/>
      <w:pPr>
        <w:tabs>
          <w:tab w:val="num" w:pos="0"/>
        </w:tabs>
        <w:ind w:start="2367" w:hanging="180"/>
      </w:pPr>
      <w:rPr/>
    </w:lvl>
    <w:lvl w:ilvl="3">
      <w:start w:val="1"/>
      <w:numFmt w:val="decimal"/>
      <w:lvlText w:val="%4."/>
      <w:lvlJc w:val="start"/>
      <w:pPr>
        <w:tabs>
          <w:tab w:val="num" w:pos="0"/>
        </w:tabs>
        <w:ind w:start="3087" w:hanging="360"/>
      </w:pPr>
      <w:rPr/>
    </w:lvl>
    <w:lvl w:ilvl="4">
      <w:start w:val="1"/>
      <w:numFmt w:val="lowerLetter"/>
      <w:lvlText w:val="%5."/>
      <w:lvlJc w:val="start"/>
      <w:pPr>
        <w:tabs>
          <w:tab w:val="num" w:pos="0"/>
        </w:tabs>
        <w:ind w:start="3807" w:hanging="360"/>
      </w:pPr>
      <w:rPr/>
    </w:lvl>
    <w:lvl w:ilvl="5">
      <w:start w:val="1"/>
      <w:numFmt w:val="lowerRoman"/>
      <w:lvlText w:val="%6."/>
      <w:lvlJc w:val="end"/>
      <w:pPr>
        <w:tabs>
          <w:tab w:val="num" w:pos="0"/>
        </w:tabs>
        <w:ind w:start="4527" w:hanging="180"/>
      </w:pPr>
      <w:rPr/>
    </w:lvl>
    <w:lvl w:ilvl="6">
      <w:start w:val="1"/>
      <w:numFmt w:val="decimal"/>
      <w:lvlText w:val="%7."/>
      <w:lvlJc w:val="start"/>
      <w:pPr>
        <w:tabs>
          <w:tab w:val="num" w:pos="0"/>
        </w:tabs>
        <w:ind w:start="5247" w:hanging="360"/>
      </w:pPr>
      <w:rPr/>
    </w:lvl>
    <w:lvl w:ilvl="7">
      <w:start w:val="1"/>
      <w:numFmt w:val="lowerLetter"/>
      <w:lvlText w:val="%8."/>
      <w:lvlJc w:val="start"/>
      <w:pPr>
        <w:tabs>
          <w:tab w:val="num" w:pos="0"/>
        </w:tabs>
        <w:ind w:start="5967" w:hanging="360"/>
      </w:pPr>
      <w:rPr/>
    </w:lvl>
    <w:lvl w:ilvl="8">
      <w:start w:val="1"/>
      <w:numFmt w:val="lowerRoman"/>
      <w:lvlText w:val="%9."/>
      <w:lvlJc w:val="end"/>
      <w:pPr>
        <w:tabs>
          <w:tab w:val="num" w:pos="0"/>
        </w:tabs>
        <w:ind w:start="6687" w:hanging="180"/>
      </w:pPr>
      <w:rPr/>
    </w:lvl>
  </w:abstractNum>
  <w:abstractNum w:abstractNumId="12">
    <w:lvl w:ilvl="0">
      <w:start w:val="7"/>
      <w:numFmt w:val="decimal"/>
      <w:lvlText w:val="%1"/>
      <w:lvlJc w:val="start"/>
      <w:pPr>
        <w:tabs>
          <w:tab w:val="num" w:pos="0"/>
        </w:tabs>
        <w:ind w:start="360" w:hanging="360"/>
      </w:pPr>
      <w:rPr>
        <w:b/>
        <w:bCs/>
      </w:rPr>
    </w:lvl>
    <w:lvl w:ilvl="1">
      <w:start w:val="1"/>
      <w:numFmt w:val="decimal"/>
      <w:lvlText w:val="%2."/>
      <w:lvlJc w:val="start"/>
      <w:pPr>
        <w:tabs>
          <w:tab w:val="num" w:pos="0"/>
        </w:tabs>
        <w:ind w:start="360" w:hanging="360"/>
      </w:pPr>
      <w:rPr>
        <w:rFonts w:ascii="Arial" w:hAnsi="Arial" w:eastAsia="Calibri" w:cs="Arial" w:eastAsiaTheme="minorHAnsi"/>
      </w:rPr>
    </w:lvl>
    <w:lvl w:ilvl="2">
      <w:start w:val="1"/>
      <w:numFmt w:val="lowerLetter"/>
      <w:lvlText w:val="%3)"/>
      <w:lvlJc w:val="start"/>
      <w:pPr>
        <w:tabs>
          <w:tab w:val="num" w:pos="0"/>
        </w:tabs>
        <w:ind w:start="720" w:hanging="720"/>
      </w:pPr>
      <w:rPr>
        <w:rFonts w:ascii="Arial" w:hAnsi="Arial" w:eastAsia="Calibri" w:cs="Arial" w:eastAsiaTheme="minorHAnsi"/>
      </w:rPr>
    </w:lvl>
    <w:lvl w:ilvl="3">
      <w:start w:val="1"/>
      <w:numFmt w:val="decimal"/>
      <w:lvlText w:val="%1.%2.%3.%4"/>
      <w:lvlJc w:val="start"/>
      <w:pPr>
        <w:tabs>
          <w:tab w:val="num" w:pos="0"/>
        </w:tabs>
        <w:ind w:start="720" w:hanging="720"/>
      </w:pPr>
      <w:rPr/>
    </w:lvl>
    <w:lvl w:ilvl="4">
      <w:start w:val="1"/>
      <w:numFmt w:val="decimal"/>
      <w:lvlText w:val="%1.%2.%3.%4.%5"/>
      <w:lvlJc w:val="start"/>
      <w:pPr>
        <w:tabs>
          <w:tab w:val="num" w:pos="0"/>
        </w:tabs>
        <w:ind w:start="1080" w:hanging="1080"/>
      </w:pPr>
      <w:rPr/>
    </w:lvl>
    <w:lvl w:ilvl="5">
      <w:start w:val="1"/>
      <w:numFmt w:val="decimal"/>
      <w:lvlText w:val="%1.%2.%3.%4.%5.%6"/>
      <w:lvlJc w:val="start"/>
      <w:pPr>
        <w:tabs>
          <w:tab w:val="num" w:pos="0"/>
        </w:tabs>
        <w:ind w:start="1080" w:hanging="1080"/>
      </w:pPr>
      <w:rPr/>
    </w:lvl>
    <w:lvl w:ilvl="6">
      <w:start w:val="1"/>
      <w:numFmt w:val="decimal"/>
      <w:lvlText w:val="%1.%2.%3.%4.%5.%6.%7"/>
      <w:lvlJc w:val="start"/>
      <w:pPr>
        <w:tabs>
          <w:tab w:val="num" w:pos="0"/>
        </w:tabs>
        <w:ind w:start="1440" w:hanging="1440"/>
      </w:pPr>
      <w:rPr/>
    </w:lvl>
    <w:lvl w:ilvl="7">
      <w:start w:val="1"/>
      <w:numFmt w:val="decimal"/>
      <w:lvlText w:val="%1.%2.%3.%4.%5.%6.%7.%8"/>
      <w:lvlJc w:val="start"/>
      <w:pPr>
        <w:tabs>
          <w:tab w:val="num" w:pos="0"/>
        </w:tabs>
        <w:ind w:start="1440" w:hanging="1440"/>
      </w:pPr>
      <w:rPr/>
    </w:lvl>
    <w:lvl w:ilvl="8">
      <w:start w:val="1"/>
      <w:numFmt w:val="decimal"/>
      <w:lvlText w:val="%1.%2.%3.%4.%5.%6.%7.%8.%9"/>
      <w:lvlJc w:val="start"/>
      <w:pPr>
        <w:tabs>
          <w:tab w:val="num" w:pos="0"/>
        </w:tabs>
        <w:ind w:start="1800" w:hanging="1800"/>
      </w:pPr>
      <w:rPr/>
    </w:lvl>
  </w:abstractNum>
  <w:abstractNum w:abstractNumId="13">
    <w:lvl w:ilvl="0">
      <w:start w:val="1"/>
      <w:numFmt w:val="decimal"/>
      <w:lvlText w:val="%1."/>
      <w:lvlJc w:val="start"/>
      <w:pPr>
        <w:tabs>
          <w:tab w:val="num" w:pos="0"/>
        </w:tabs>
        <w:ind w:start="720" w:hanging="360"/>
      </w:pPr>
      <w:rPr>
        <w:b/>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4">
    <w:lvl w:ilvl="0">
      <w:start w:val="1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5">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6">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w="http://schemas.openxmlformats.org/wordprocessingml/2006/main">
  <w:zoom w:percent="18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l-PL"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start"/>
    </w:pPr>
    <w:rPr>
      <w:rFonts w:ascii="Calibri" w:hAnsi="Calibri" w:eastAsia="Calibri" w:cs="" w:asciiTheme="minorHAnsi" w:cstheme="minorBidi" w:eastAsiaTheme="minorHAnsi" w:hAnsiTheme="minorHAnsi"/>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TekstpodstawowyZnak" w:customStyle="1">
    <w:name w:val="Tekst podstawowy Znak"/>
    <w:basedOn w:val="DefaultParagraphFont"/>
    <w:uiPriority w:val="99"/>
    <w:semiHidden/>
    <w:qFormat/>
    <w:rsid w:val="007e2379"/>
    <w:rPr/>
  </w:style>
  <w:style w:type="character" w:styleId="AkapitzlistZnak" w:customStyle="1">
    <w:name w:val="Akapit z listą Znak"/>
    <w:link w:val="ListParagraph"/>
    <w:uiPriority w:val="34"/>
    <w:qFormat/>
    <w:locked/>
    <w:rsid w:val="00500e4b"/>
    <w:rPr/>
  </w:style>
  <w:style w:type="character" w:styleId="NagwekZnak" w:customStyle="1">
    <w:name w:val="Nagłówek Znak"/>
    <w:basedOn w:val="DefaultParagraphFont"/>
    <w:uiPriority w:val="99"/>
    <w:qFormat/>
    <w:rsid w:val="00e15f53"/>
    <w:rPr/>
  </w:style>
  <w:style w:type="character" w:styleId="StopkaZnak" w:customStyle="1">
    <w:name w:val="Stopka Znak"/>
    <w:basedOn w:val="DefaultParagraphFont"/>
    <w:uiPriority w:val="99"/>
    <w:qFormat/>
    <w:rsid w:val="00e15f53"/>
    <w:rPr/>
  </w:style>
  <w:style w:type="character" w:styleId="MarioZnak" w:customStyle="1">
    <w:name w:val="Mario Znak"/>
    <w:link w:val="Mario"/>
    <w:qFormat/>
    <w:locked/>
    <w:rsid w:val="00a65522"/>
    <w:rPr>
      <w:rFonts w:ascii="Arial" w:hAnsi="Arial" w:cs="Arial"/>
      <w:sz w:val="24"/>
      <w:lang w:eastAsia="ar-SA"/>
    </w:rPr>
  </w:style>
  <w:style w:type="character" w:styleId="TekstdymkaZnak" w:customStyle="1">
    <w:name w:val="Tekst dymka Znak"/>
    <w:basedOn w:val="DefaultParagraphFont"/>
    <w:link w:val="BalloonText"/>
    <w:uiPriority w:val="99"/>
    <w:semiHidden/>
    <w:qFormat/>
    <w:rsid w:val="00b84971"/>
    <w:rPr>
      <w:rFonts w:ascii="Segoe UI" w:hAnsi="Segoe UI" w:cs="Segoe UI"/>
      <w:sz w:val="18"/>
      <w:szCs w:val="18"/>
    </w:rPr>
  </w:style>
  <w:style w:type="character" w:styleId="CommentReference">
    <w:name w:val="annotation reference"/>
    <w:basedOn w:val="DefaultParagraphFont"/>
    <w:uiPriority w:val="99"/>
    <w:semiHidden/>
    <w:unhideWhenUsed/>
    <w:qFormat/>
    <w:rsid w:val="00fa0c67"/>
    <w:rPr>
      <w:sz w:val="16"/>
      <w:szCs w:val="16"/>
    </w:rPr>
  </w:style>
  <w:style w:type="character" w:styleId="TekstkomentarzaZnak" w:customStyle="1">
    <w:name w:val="Tekst komentarza Znak"/>
    <w:basedOn w:val="DefaultParagraphFont"/>
    <w:link w:val="CommentText"/>
    <w:uiPriority w:val="99"/>
    <w:semiHidden/>
    <w:qFormat/>
    <w:rsid w:val="00fa0c67"/>
    <w:rPr>
      <w:sz w:val="20"/>
      <w:szCs w:val="20"/>
    </w:rPr>
  </w:style>
  <w:style w:type="character" w:styleId="TematkomentarzaZnak" w:customStyle="1">
    <w:name w:val="Temat komentarza Znak"/>
    <w:basedOn w:val="TekstkomentarzaZnak"/>
    <w:link w:val="annotationsubject"/>
    <w:uiPriority w:val="99"/>
    <w:semiHidden/>
    <w:qFormat/>
    <w:rsid w:val="00fa0c67"/>
    <w:rPr>
      <w:b/>
      <w:bCs/>
      <w:sz w:val="20"/>
      <w:szCs w:val="20"/>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kstpodstawowyZnak"/>
    <w:uiPriority w:val="99"/>
    <w:semiHidden/>
    <w:unhideWhenUsed/>
    <w:rsid w:val="007e2379"/>
    <w:pPr>
      <w:spacing w:before="0" w:after="120"/>
    </w:pPr>
    <w:rPr/>
  </w:style>
  <w:style w:type="paragraph" w:styleId="List">
    <w:name w:val="List"/>
    <w:basedOn w:val="BodyText"/>
    <w:semiHidden/>
    <w:rsid w:val="007e2379"/>
    <w:pPr>
      <w:widowControl w:val="false"/>
      <w:suppressAutoHyphens w:val="true"/>
      <w:spacing w:lineRule="auto" w:line="240" w:before="120" w:after="0"/>
      <w:jc w:val="both"/>
    </w:pPr>
    <w:rPr>
      <w:rFonts w:ascii="Arial" w:hAnsi="Arial" w:eastAsia="Times New Roman" w:cs="Courier New"/>
      <w:sz w:val="24"/>
      <w:szCs w:val="20"/>
      <w:lang w:eastAsia="ar-SA"/>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Standard" w:customStyle="1">
    <w:name w:val="Standard"/>
    <w:qFormat/>
    <w:rsid w:val="00020ea1"/>
    <w:pPr>
      <w:widowControl w:val="false"/>
      <w:suppressAutoHyphens w:val="true"/>
      <w:bidi w:val="0"/>
      <w:spacing w:lineRule="auto" w:line="240" w:before="0" w:after="0"/>
      <w:jc w:val="start"/>
      <w:textAlignment w:val="baseline"/>
    </w:pPr>
    <w:rPr>
      <w:rFonts w:ascii="Times New Roman" w:hAnsi="Times New Roman" w:eastAsia="Andale Sans UI" w:cs="Tahoma"/>
      <w:color w:val="auto"/>
      <w:kern w:val="2"/>
      <w:sz w:val="24"/>
      <w:szCs w:val="24"/>
      <w:lang w:val="en-US" w:bidi="en-US" w:eastAsia="en-US"/>
    </w:rPr>
  </w:style>
  <w:style w:type="paragraph" w:styleId="ListParagraph">
    <w:name w:val="List Paragraph"/>
    <w:basedOn w:val="Normal"/>
    <w:link w:val="AkapitzlistZnak"/>
    <w:uiPriority w:val="34"/>
    <w:qFormat/>
    <w:rsid w:val="008c72c9"/>
    <w:pPr>
      <w:spacing w:before="0" w:after="160"/>
      <w:ind w:start="720"/>
      <w:contextualSpacing/>
    </w:pPr>
    <w:rPr/>
  </w:style>
  <w:style w:type="paragraph" w:styleId="Gwkaistopka">
    <w:name w:val="Główka i stopka"/>
    <w:basedOn w:val="Normal"/>
    <w:qFormat/>
    <w:pPr/>
    <w:rPr/>
  </w:style>
  <w:style w:type="paragraph" w:styleId="Header">
    <w:name w:val="header"/>
    <w:basedOn w:val="Normal"/>
    <w:link w:val="NagwekZnak"/>
    <w:uiPriority w:val="99"/>
    <w:unhideWhenUsed/>
    <w:rsid w:val="00e15f53"/>
    <w:pPr>
      <w:tabs>
        <w:tab w:val="clear" w:pos="708"/>
        <w:tab w:val="center" w:pos="4536" w:leader="none"/>
        <w:tab w:val="right" w:pos="9072" w:leader="none"/>
      </w:tabs>
      <w:spacing w:lineRule="auto" w:line="240" w:before="0" w:after="0"/>
    </w:pPr>
    <w:rPr/>
  </w:style>
  <w:style w:type="paragraph" w:styleId="Footer">
    <w:name w:val="footer"/>
    <w:basedOn w:val="Normal"/>
    <w:link w:val="StopkaZnak"/>
    <w:uiPriority w:val="99"/>
    <w:unhideWhenUsed/>
    <w:rsid w:val="00e15f53"/>
    <w:pPr>
      <w:tabs>
        <w:tab w:val="clear" w:pos="708"/>
        <w:tab w:val="center" w:pos="4536" w:leader="none"/>
        <w:tab w:val="right" w:pos="9072" w:leader="none"/>
      </w:tabs>
      <w:spacing w:lineRule="auto" w:line="240" w:before="0" w:after="0"/>
    </w:pPr>
    <w:rPr/>
  </w:style>
  <w:style w:type="paragraph" w:styleId="Mario" w:customStyle="1">
    <w:name w:val="Mario"/>
    <w:basedOn w:val="Normal"/>
    <w:link w:val="MarioZnak"/>
    <w:qFormat/>
    <w:rsid w:val="00a65522"/>
    <w:pPr>
      <w:widowControl w:val="false"/>
      <w:suppressAutoHyphens w:val="true"/>
      <w:spacing w:lineRule="auto" w:line="360" w:before="0" w:after="0"/>
      <w:jc w:val="both"/>
    </w:pPr>
    <w:rPr>
      <w:rFonts w:ascii="Arial" w:hAnsi="Arial" w:cs="Arial"/>
      <w:sz w:val="24"/>
      <w:lang w:eastAsia="ar-SA"/>
    </w:rPr>
  </w:style>
  <w:style w:type="paragraph" w:styleId="BalloonText">
    <w:name w:val="Balloon Text"/>
    <w:basedOn w:val="Normal"/>
    <w:link w:val="TekstdymkaZnak"/>
    <w:uiPriority w:val="99"/>
    <w:semiHidden/>
    <w:unhideWhenUsed/>
    <w:qFormat/>
    <w:rsid w:val="00b84971"/>
    <w:pPr>
      <w:spacing w:lineRule="auto" w:line="240" w:before="0" w:after="0"/>
    </w:pPr>
    <w:rPr>
      <w:rFonts w:ascii="Segoe UI" w:hAnsi="Segoe UI" w:cs="Segoe UI"/>
      <w:sz w:val="18"/>
      <w:szCs w:val="18"/>
    </w:rPr>
  </w:style>
  <w:style w:type="paragraph" w:styleId="CommentText">
    <w:name w:val="annotation text"/>
    <w:basedOn w:val="Normal"/>
    <w:link w:val="TekstkomentarzaZnak"/>
    <w:uiPriority w:val="99"/>
    <w:semiHidden/>
    <w:unhideWhenUsed/>
    <w:rsid w:val="00fa0c67"/>
    <w:pPr>
      <w:spacing w:lineRule="auto" w:line="240"/>
    </w:pPr>
    <w:rPr>
      <w:sz w:val="20"/>
      <w:szCs w:val="20"/>
    </w:rPr>
  </w:style>
  <w:style w:type="paragraph" w:styleId="annotationsubject">
    <w:name w:val="annotation subject"/>
    <w:basedOn w:val="CommentText"/>
    <w:next w:val="CommentText"/>
    <w:link w:val="TematkomentarzaZnak"/>
    <w:uiPriority w:val="99"/>
    <w:semiHidden/>
    <w:unhideWhenUsed/>
    <w:qFormat/>
    <w:rsid w:val="00fa0c67"/>
    <w:pPr/>
    <w:rPr>
      <w:b/>
      <w:bCs/>
    </w:rPr>
  </w:style>
  <w:style w:type="numbering" w:styleId="Bezlisty" w:default="1">
    <w:name w:val="Bez listy"/>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leGrid">
    <w:name w:val="TableGrid"/>
    <w:rsid w:val="007a5ab2"/>
    <w:pPr>
      <w:spacing w:after="0" w:line="240" w:lineRule="auto"/>
    </w:pPr>
    <w:rPr>
      <w:rFonts w:eastAsiaTheme="minorEastAsia"/>
      <w:lang w:eastAsia="pl-PL"/>
    </w:rPr>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D4161-B5EA-4352-AAAD-1309E9CA4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LibreOffice/25.8.3.2$Windows_X86_64 LibreOffice_project/8ca8d55c161d602844f5428fa4b58097424e324e</Application>
  <AppVersion>15.0000</AppVersion>
  <Pages>2</Pages>
  <Words>3306</Words>
  <Characters>21437</Characters>
  <CharactersWithSpaces>24514</CharactersWithSpaces>
  <Paragraphs>154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2026-03-05T07:24:00Z</dcterms:created>
  <dc:creator>Krzysztof Badurzyński</dc:creator>
  <dc:description/>
  <dc:language>pl-PL</dc:language>
  <cp:lastModifiedBy>Krzysztof Filipowicz</cp:lastModifiedBy>
  <cp:lastPrinted>2026-02-13T09:14:00Z</cp:lastPrinted>
  <dcterms:modified xsi:type="dcterms:W3CDTF">2026-03-05T07:24:00Z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